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CBDDE6" w14:textId="77CA2F60" w:rsidR="006E34D8" w:rsidRDefault="006F148C">
      <w:pPr>
        <w:pStyle w:val="Heading1"/>
      </w:pPr>
      <w:r>
        <w:t>Core Unit 2</w:t>
      </w:r>
    </w:p>
    <w:p w14:paraId="580CBB36" w14:textId="77777777" w:rsidR="006E34D8" w:rsidRDefault="006F148C">
      <w:pPr>
        <w:spacing w:before="67"/>
        <w:ind w:left="1975" w:right="3431"/>
        <w:jc w:val="center"/>
        <w:rPr>
          <w:sz w:val="36"/>
        </w:rPr>
      </w:pPr>
      <w:r>
        <w:rPr>
          <w:sz w:val="36"/>
        </w:rPr>
        <w:t>Regulation of Retirement Provision</w:t>
      </w:r>
    </w:p>
    <w:p w14:paraId="7B76EDCA" w14:textId="77777777" w:rsidR="006E34D8" w:rsidRDefault="006E34D8">
      <w:pPr>
        <w:pStyle w:val="BodyText"/>
        <w:spacing w:before="6"/>
        <w:rPr>
          <w:sz w:val="37"/>
        </w:rPr>
      </w:pPr>
    </w:p>
    <w:p w14:paraId="1C8D6329" w14:textId="77777777" w:rsidR="006E34D8" w:rsidRDefault="006F148C">
      <w:pPr>
        <w:ind w:left="1975" w:right="3431"/>
        <w:jc w:val="center"/>
        <w:rPr>
          <w:sz w:val="28"/>
        </w:rPr>
      </w:pPr>
      <w:r>
        <w:rPr>
          <w:sz w:val="28"/>
        </w:rPr>
        <w:t>Assignment 4</w:t>
      </w:r>
    </w:p>
    <w:p w14:paraId="7721CA46" w14:textId="77777777" w:rsidR="006E34D8" w:rsidRDefault="006F148C">
      <w:pPr>
        <w:spacing w:before="49"/>
        <w:ind w:left="1975" w:right="3429"/>
        <w:jc w:val="center"/>
        <w:rPr>
          <w:i/>
          <w:sz w:val="18"/>
        </w:rPr>
      </w:pPr>
      <w:r>
        <w:rPr>
          <w:i/>
          <w:sz w:val="18"/>
        </w:rPr>
        <w:t>(Part 5 – Governance Requirements and Part 6 – Current Issues)</w:t>
      </w:r>
    </w:p>
    <w:p w14:paraId="6659C9FA" w14:textId="77777777" w:rsidR="006E34D8" w:rsidRDefault="006E34D8">
      <w:pPr>
        <w:pStyle w:val="BodyText"/>
        <w:spacing w:before="11"/>
        <w:rPr>
          <w:i/>
          <w:sz w:val="20"/>
        </w:rPr>
      </w:pPr>
    </w:p>
    <w:p w14:paraId="1DA6610D" w14:textId="77777777" w:rsidR="006E34D8" w:rsidRDefault="006F148C">
      <w:pPr>
        <w:ind w:left="1951" w:right="3431"/>
        <w:jc w:val="center"/>
        <w:rPr>
          <w:i/>
          <w:sz w:val="16"/>
        </w:rPr>
      </w:pPr>
      <w:r>
        <w:rPr>
          <w:i/>
          <w:sz w:val="16"/>
        </w:rPr>
        <w:t>Recommended Time: 1 Hour</w:t>
      </w:r>
    </w:p>
    <w:p w14:paraId="12E5F269" w14:textId="77777777" w:rsidR="006E34D8" w:rsidRDefault="006E34D8">
      <w:pPr>
        <w:pStyle w:val="BodyText"/>
        <w:rPr>
          <w:i/>
          <w:sz w:val="20"/>
        </w:rPr>
      </w:pPr>
    </w:p>
    <w:p w14:paraId="1A9172F3" w14:textId="77777777" w:rsidR="006E34D8" w:rsidRDefault="006E34D8">
      <w:pPr>
        <w:pStyle w:val="BodyText"/>
        <w:spacing w:before="5"/>
        <w:rPr>
          <w:i/>
        </w:rPr>
      </w:pPr>
    </w:p>
    <w:p w14:paraId="58F38EB8" w14:textId="77777777" w:rsidR="006E34D8" w:rsidRDefault="006F148C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before="64"/>
        <w:ind w:hanging="361"/>
        <w:rPr>
          <w:sz w:val="18"/>
        </w:rPr>
      </w:pPr>
      <w:r>
        <w:rPr>
          <w:sz w:val="18"/>
        </w:rPr>
        <w:t>List some key risk indicators for trustees and members to spot pensions liberation</w:t>
      </w:r>
      <w:r>
        <w:rPr>
          <w:spacing w:val="-7"/>
          <w:sz w:val="18"/>
        </w:rPr>
        <w:t xml:space="preserve"> </w:t>
      </w:r>
      <w:r>
        <w:rPr>
          <w:sz w:val="18"/>
        </w:rPr>
        <w:t>scams.</w:t>
      </w:r>
    </w:p>
    <w:p w14:paraId="12B71CC3" w14:textId="77777777" w:rsidR="006E34D8" w:rsidRDefault="006F148C">
      <w:pPr>
        <w:pStyle w:val="Heading2"/>
        <w:spacing w:before="32"/>
      </w:pPr>
      <w:r>
        <w:t>5 marks</w:t>
      </w:r>
    </w:p>
    <w:p w14:paraId="15D7183E" w14:textId="77777777" w:rsidR="006E34D8" w:rsidRDefault="006E34D8">
      <w:pPr>
        <w:pStyle w:val="BodyText"/>
        <w:rPr>
          <w:b/>
          <w:sz w:val="20"/>
        </w:rPr>
      </w:pPr>
    </w:p>
    <w:p w14:paraId="13D30795" w14:textId="77777777" w:rsidR="006E34D8" w:rsidRDefault="006E34D8">
      <w:pPr>
        <w:pStyle w:val="BodyText"/>
        <w:spacing w:before="8"/>
        <w:rPr>
          <w:b/>
          <w:sz w:val="16"/>
        </w:rPr>
      </w:pPr>
    </w:p>
    <w:p w14:paraId="21D6ACFB" w14:textId="77777777" w:rsidR="006E34D8" w:rsidRDefault="006F148C">
      <w:pPr>
        <w:pStyle w:val="ListParagraph"/>
        <w:numPr>
          <w:ilvl w:val="0"/>
          <w:numId w:val="1"/>
        </w:numPr>
        <w:tabs>
          <w:tab w:val="left" w:pos="527"/>
          <w:tab w:val="left" w:pos="528"/>
        </w:tabs>
        <w:spacing w:before="1"/>
        <w:ind w:left="527" w:hanging="428"/>
        <w:rPr>
          <w:sz w:val="18"/>
        </w:rPr>
      </w:pPr>
      <w:r>
        <w:rPr>
          <w:sz w:val="18"/>
        </w:rPr>
        <w:t xml:space="preserve">Outline the Statutory Right </w:t>
      </w:r>
      <w:proofErr w:type="gramStart"/>
      <w:r>
        <w:rPr>
          <w:sz w:val="18"/>
        </w:rPr>
        <w:t>To</w:t>
      </w:r>
      <w:proofErr w:type="gramEnd"/>
      <w:r>
        <w:rPr>
          <w:spacing w:val="-1"/>
          <w:sz w:val="18"/>
        </w:rPr>
        <w:t xml:space="preserve"> </w:t>
      </w:r>
      <w:r>
        <w:rPr>
          <w:sz w:val="18"/>
        </w:rPr>
        <w:t>Transfer.</w:t>
      </w:r>
    </w:p>
    <w:p w14:paraId="43B6E875" w14:textId="77777777" w:rsidR="006E34D8" w:rsidRDefault="006F148C">
      <w:pPr>
        <w:pStyle w:val="Heading2"/>
        <w:spacing w:before="32"/>
      </w:pPr>
      <w:r>
        <w:t>5 marks</w:t>
      </w:r>
    </w:p>
    <w:p w14:paraId="44967800" w14:textId="77777777" w:rsidR="006E34D8" w:rsidRDefault="006E34D8">
      <w:pPr>
        <w:pStyle w:val="BodyText"/>
        <w:rPr>
          <w:b/>
          <w:sz w:val="20"/>
        </w:rPr>
      </w:pPr>
    </w:p>
    <w:p w14:paraId="5B867E20" w14:textId="77777777" w:rsidR="006E34D8" w:rsidRDefault="006E34D8">
      <w:pPr>
        <w:pStyle w:val="BodyText"/>
        <w:spacing w:before="8"/>
        <w:rPr>
          <w:b/>
          <w:sz w:val="16"/>
        </w:rPr>
      </w:pPr>
    </w:p>
    <w:p w14:paraId="51A18191" w14:textId="77777777" w:rsidR="006E34D8" w:rsidRDefault="006F148C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before="1"/>
        <w:ind w:hanging="361"/>
        <w:rPr>
          <w:sz w:val="18"/>
        </w:rPr>
      </w:pPr>
      <w:r>
        <w:rPr>
          <w:sz w:val="18"/>
        </w:rPr>
        <w:t>Describe the key governance requirements for trustees in the Occupational Pension Schemes (Charges</w:t>
      </w:r>
      <w:r>
        <w:rPr>
          <w:spacing w:val="-16"/>
          <w:sz w:val="18"/>
        </w:rPr>
        <w:t xml:space="preserve"> </w:t>
      </w:r>
      <w:r>
        <w:rPr>
          <w:sz w:val="18"/>
        </w:rPr>
        <w:t>and</w:t>
      </w:r>
    </w:p>
    <w:p w14:paraId="2DD5CE0E" w14:textId="66A9E6BB" w:rsidR="006E34D8" w:rsidRPr="002F281E" w:rsidRDefault="006F148C" w:rsidP="002F281E">
      <w:pPr>
        <w:pStyle w:val="BodyText"/>
        <w:spacing w:before="34"/>
        <w:ind w:left="460"/>
      </w:pPr>
      <w:r>
        <w:t>Governance) Regulations 2015 and define “core financial transactions”.</w:t>
      </w:r>
    </w:p>
    <w:p w14:paraId="7E4EB8BD" w14:textId="77777777" w:rsidR="006E34D8" w:rsidRDefault="006F148C">
      <w:pPr>
        <w:pStyle w:val="Heading2"/>
      </w:pPr>
      <w:r>
        <w:t>10 marks</w:t>
      </w:r>
    </w:p>
    <w:p w14:paraId="2D1219B5" w14:textId="77777777" w:rsidR="006E34D8" w:rsidRDefault="006E34D8">
      <w:pPr>
        <w:pStyle w:val="BodyText"/>
        <w:rPr>
          <w:b/>
        </w:rPr>
      </w:pPr>
    </w:p>
    <w:p w14:paraId="2A70EFB9" w14:textId="77777777" w:rsidR="006E34D8" w:rsidRDefault="006E34D8">
      <w:pPr>
        <w:pStyle w:val="BodyText"/>
        <w:spacing w:before="1"/>
        <w:rPr>
          <w:b/>
          <w:sz w:val="26"/>
        </w:rPr>
      </w:pPr>
    </w:p>
    <w:p w14:paraId="0274CF45" w14:textId="1FF4E20C" w:rsidR="006E34D8" w:rsidRPr="002F281E" w:rsidRDefault="006F148C" w:rsidP="002F281E">
      <w:pPr>
        <w:pStyle w:val="ListParagraph"/>
        <w:numPr>
          <w:ilvl w:val="0"/>
          <w:numId w:val="1"/>
        </w:numPr>
        <w:tabs>
          <w:tab w:val="left" w:pos="527"/>
          <w:tab w:val="left" w:pos="528"/>
        </w:tabs>
        <w:spacing w:before="1" w:line="276" w:lineRule="auto"/>
        <w:ind w:left="527" w:right="1834" w:hanging="428"/>
        <w:rPr>
          <w:b/>
          <w:sz w:val="18"/>
        </w:rPr>
      </w:pPr>
      <w:r>
        <w:rPr>
          <w:sz w:val="18"/>
        </w:rPr>
        <w:t>List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ways</w:t>
      </w:r>
      <w:r>
        <w:rPr>
          <w:spacing w:val="-2"/>
          <w:sz w:val="18"/>
        </w:rPr>
        <w:t xml:space="preserve"> </w:t>
      </w:r>
      <w:r>
        <w:rPr>
          <w:sz w:val="18"/>
        </w:rPr>
        <w:t>in</w:t>
      </w:r>
      <w:r>
        <w:rPr>
          <w:spacing w:val="-3"/>
          <w:sz w:val="18"/>
        </w:rPr>
        <w:t xml:space="preserve"> </w:t>
      </w:r>
      <w:r>
        <w:rPr>
          <w:sz w:val="18"/>
        </w:rPr>
        <w:t>which</w:t>
      </w:r>
      <w:r>
        <w:rPr>
          <w:spacing w:val="-2"/>
          <w:sz w:val="18"/>
        </w:rPr>
        <w:t xml:space="preserve"> </w:t>
      </w:r>
      <w:r>
        <w:rPr>
          <w:sz w:val="18"/>
        </w:rPr>
        <w:t>a</w:t>
      </w:r>
      <w:r>
        <w:rPr>
          <w:spacing w:val="-3"/>
          <w:sz w:val="18"/>
        </w:rPr>
        <w:t xml:space="preserve"> </w:t>
      </w:r>
      <w:r>
        <w:rPr>
          <w:sz w:val="18"/>
        </w:rPr>
        <w:t>pension arrangement</w:t>
      </w:r>
      <w:r>
        <w:rPr>
          <w:spacing w:val="-1"/>
          <w:sz w:val="18"/>
        </w:rPr>
        <w:t xml:space="preserve"> </w:t>
      </w:r>
      <w:r>
        <w:rPr>
          <w:sz w:val="18"/>
        </w:rPr>
        <w:t>might</w:t>
      </w:r>
      <w:r>
        <w:rPr>
          <w:spacing w:val="-1"/>
          <w:sz w:val="18"/>
        </w:rPr>
        <w:t xml:space="preserve"> </w:t>
      </w:r>
      <w:r>
        <w:rPr>
          <w:sz w:val="18"/>
        </w:rPr>
        <w:t>be</w:t>
      </w:r>
      <w:r>
        <w:rPr>
          <w:spacing w:val="-2"/>
          <w:sz w:val="18"/>
        </w:rPr>
        <w:t xml:space="preserve"> </w:t>
      </w:r>
      <w:r>
        <w:rPr>
          <w:sz w:val="18"/>
        </w:rPr>
        <w:t>contracted</w:t>
      </w:r>
      <w:r>
        <w:rPr>
          <w:spacing w:val="-3"/>
          <w:sz w:val="18"/>
        </w:rPr>
        <w:t xml:space="preserve"> </w:t>
      </w:r>
      <w:r>
        <w:rPr>
          <w:sz w:val="18"/>
        </w:rPr>
        <w:t>out</w:t>
      </w:r>
      <w:r>
        <w:rPr>
          <w:spacing w:val="-1"/>
          <w:sz w:val="18"/>
        </w:rPr>
        <w:t xml:space="preserve"> </w:t>
      </w:r>
      <w:r>
        <w:rPr>
          <w:sz w:val="18"/>
        </w:rPr>
        <w:t>prior</w:t>
      </w:r>
      <w:r>
        <w:rPr>
          <w:spacing w:val="-1"/>
          <w:sz w:val="18"/>
        </w:rPr>
        <w:t xml:space="preserve"> </w:t>
      </w:r>
      <w:r>
        <w:rPr>
          <w:sz w:val="18"/>
        </w:rPr>
        <w:t>to</w:t>
      </w:r>
      <w:r>
        <w:rPr>
          <w:spacing w:val="-1"/>
          <w:sz w:val="18"/>
        </w:rPr>
        <w:t xml:space="preserve"> </w:t>
      </w:r>
      <w:r>
        <w:rPr>
          <w:sz w:val="18"/>
        </w:rPr>
        <w:t>6</w:t>
      </w:r>
      <w:r>
        <w:rPr>
          <w:spacing w:val="-1"/>
          <w:sz w:val="18"/>
        </w:rPr>
        <w:t xml:space="preserve"> </w:t>
      </w:r>
      <w:r>
        <w:rPr>
          <w:sz w:val="18"/>
        </w:rPr>
        <w:t>April</w:t>
      </w:r>
      <w:r>
        <w:rPr>
          <w:spacing w:val="-3"/>
          <w:sz w:val="18"/>
        </w:rPr>
        <w:t xml:space="preserve"> </w:t>
      </w:r>
      <w:r>
        <w:rPr>
          <w:sz w:val="18"/>
        </w:rPr>
        <w:t>2012</w:t>
      </w:r>
      <w:r>
        <w:rPr>
          <w:spacing w:val="-1"/>
          <w:sz w:val="18"/>
        </w:rPr>
        <w:t xml:space="preserve"> </w:t>
      </w:r>
      <w:r>
        <w:rPr>
          <w:sz w:val="18"/>
        </w:rPr>
        <w:t>and</w:t>
      </w:r>
      <w:r>
        <w:rPr>
          <w:spacing w:val="-2"/>
          <w:sz w:val="18"/>
        </w:rPr>
        <w:t xml:space="preserve"> </w:t>
      </w:r>
      <w:r>
        <w:rPr>
          <w:sz w:val="18"/>
        </w:rPr>
        <w:t>outline how</w:t>
      </w:r>
      <w:r>
        <w:rPr>
          <w:spacing w:val="-1"/>
          <w:sz w:val="18"/>
        </w:rPr>
        <w:t xml:space="preserve"> </w:t>
      </w:r>
      <w:r>
        <w:rPr>
          <w:sz w:val="18"/>
        </w:rPr>
        <w:t>this changed in April 2012 and in</w:t>
      </w:r>
      <w:r>
        <w:rPr>
          <w:spacing w:val="-4"/>
          <w:sz w:val="18"/>
        </w:rPr>
        <w:t xml:space="preserve"> </w:t>
      </w:r>
      <w:r>
        <w:rPr>
          <w:sz w:val="18"/>
        </w:rPr>
        <w:t>2016</w:t>
      </w:r>
      <w:r>
        <w:rPr>
          <w:b/>
          <w:sz w:val="18"/>
        </w:rPr>
        <w:t>.</w:t>
      </w:r>
    </w:p>
    <w:p w14:paraId="56403107" w14:textId="77777777" w:rsidR="006E34D8" w:rsidRDefault="006F148C">
      <w:pPr>
        <w:pStyle w:val="Heading2"/>
        <w:spacing w:before="1"/>
      </w:pPr>
      <w:r>
        <w:t>5 marks</w:t>
      </w:r>
    </w:p>
    <w:p w14:paraId="77A5C4C4" w14:textId="77777777" w:rsidR="006E34D8" w:rsidRDefault="006E34D8">
      <w:pPr>
        <w:pStyle w:val="BodyText"/>
        <w:rPr>
          <w:b/>
          <w:sz w:val="20"/>
        </w:rPr>
      </w:pPr>
    </w:p>
    <w:p w14:paraId="2D7A8146" w14:textId="77777777" w:rsidR="006E34D8" w:rsidRDefault="006E34D8">
      <w:pPr>
        <w:pStyle w:val="BodyText"/>
        <w:spacing w:before="7"/>
        <w:rPr>
          <w:b/>
        </w:rPr>
      </w:pPr>
    </w:p>
    <w:p w14:paraId="4FBE2DD3" w14:textId="77777777" w:rsidR="006E34D8" w:rsidRDefault="006F148C">
      <w:pPr>
        <w:pStyle w:val="ListParagraph"/>
        <w:numPr>
          <w:ilvl w:val="0"/>
          <w:numId w:val="1"/>
        </w:numPr>
        <w:tabs>
          <w:tab w:val="left" w:pos="527"/>
          <w:tab w:val="left" w:pos="528"/>
        </w:tabs>
        <w:ind w:left="527" w:hanging="428"/>
        <w:rPr>
          <w:sz w:val="18"/>
        </w:rPr>
      </w:pPr>
      <w:r>
        <w:rPr>
          <w:sz w:val="18"/>
        </w:rPr>
        <w:t>Provide some examples of the types of charges that might apply in a DC</w:t>
      </w:r>
      <w:r>
        <w:rPr>
          <w:spacing w:val="-9"/>
          <w:sz w:val="18"/>
        </w:rPr>
        <w:t xml:space="preserve"> </w:t>
      </w:r>
      <w:r>
        <w:rPr>
          <w:sz w:val="18"/>
        </w:rPr>
        <w:t>scheme.</w:t>
      </w:r>
    </w:p>
    <w:p w14:paraId="4DF0D7DC" w14:textId="77777777" w:rsidR="006E34D8" w:rsidRDefault="006F148C">
      <w:pPr>
        <w:pStyle w:val="Heading2"/>
        <w:spacing w:before="35"/>
      </w:pPr>
      <w:r>
        <w:t>10 marks</w:t>
      </w:r>
    </w:p>
    <w:p w14:paraId="2B95F574" w14:textId="77777777" w:rsidR="006E34D8" w:rsidRDefault="006E34D8">
      <w:pPr>
        <w:pStyle w:val="BodyText"/>
        <w:rPr>
          <w:b/>
          <w:sz w:val="20"/>
        </w:rPr>
      </w:pPr>
    </w:p>
    <w:p w14:paraId="2ABC644C" w14:textId="77777777" w:rsidR="006E34D8" w:rsidRDefault="006E34D8">
      <w:pPr>
        <w:pStyle w:val="BodyText"/>
        <w:spacing w:before="7"/>
        <w:rPr>
          <w:b/>
          <w:sz w:val="16"/>
        </w:rPr>
      </w:pPr>
    </w:p>
    <w:p w14:paraId="18608AEF" w14:textId="77777777" w:rsidR="006E34D8" w:rsidRDefault="006F148C">
      <w:pPr>
        <w:pStyle w:val="ListParagraph"/>
        <w:numPr>
          <w:ilvl w:val="0"/>
          <w:numId w:val="1"/>
        </w:numPr>
        <w:tabs>
          <w:tab w:val="left" w:pos="527"/>
          <w:tab w:val="left" w:pos="528"/>
        </w:tabs>
        <w:spacing w:line="278" w:lineRule="auto"/>
        <w:ind w:left="527" w:right="1688" w:hanging="428"/>
        <w:rPr>
          <w:sz w:val="18"/>
        </w:rPr>
      </w:pPr>
      <w:r>
        <w:rPr>
          <w:sz w:val="18"/>
        </w:rPr>
        <w:t>Outline</w:t>
      </w:r>
      <w:r>
        <w:rPr>
          <w:spacing w:val="-3"/>
          <w:sz w:val="18"/>
        </w:rPr>
        <w:t xml:space="preserve"> </w:t>
      </w:r>
      <w:r>
        <w:rPr>
          <w:sz w:val="18"/>
        </w:rPr>
        <w:t>five</w:t>
      </w:r>
      <w:r>
        <w:rPr>
          <w:spacing w:val="-2"/>
          <w:sz w:val="18"/>
        </w:rPr>
        <w:t xml:space="preserve"> </w:t>
      </w:r>
      <w:r>
        <w:rPr>
          <w:sz w:val="18"/>
        </w:rPr>
        <w:t>areas</w:t>
      </w:r>
      <w:r>
        <w:rPr>
          <w:spacing w:val="-2"/>
          <w:sz w:val="18"/>
        </w:rPr>
        <w:t xml:space="preserve"> </w:t>
      </w:r>
      <w:r>
        <w:rPr>
          <w:sz w:val="18"/>
        </w:rPr>
        <w:t>of</w:t>
      </w:r>
      <w:r>
        <w:rPr>
          <w:spacing w:val="-2"/>
          <w:sz w:val="18"/>
        </w:rPr>
        <w:t xml:space="preserve"> </w:t>
      </w:r>
      <w:r>
        <w:rPr>
          <w:sz w:val="18"/>
        </w:rPr>
        <w:t>UK</w:t>
      </w:r>
      <w:r>
        <w:rPr>
          <w:spacing w:val="-1"/>
          <w:sz w:val="18"/>
        </w:rPr>
        <w:t xml:space="preserve"> </w:t>
      </w:r>
      <w:r>
        <w:rPr>
          <w:sz w:val="18"/>
        </w:rPr>
        <w:t>pension</w:t>
      </w:r>
      <w:r>
        <w:rPr>
          <w:spacing w:val="-2"/>
          <w:sz w:val="18"/>
        </w:rPr>
        <w:t xml:space="preserve"> </w:t>
      </w:r>
      <w:r>
        <w:rPr>
          <w:sz w:val="18"/>
        </w:rPr>
        <w:t>law</w:t>
      </w:r>
      <w:r>
        <w:rPr>
          <w:spacing w:val="-1"/>
          <w:sz w:val="18"/>
        </w:rPr>
        <w:t xml:space="preserve"> </w:t>
      </w:r>
      <w:r>
        <w:rPr>
          <w:sz w:val="18"/>
        </w:rPr>
        <w:t>which</w:t>
      </w:r>
      <w:r>
        <w:rPr>
          <w:spacing w:val="-2"/>
          <w:sz w:val="18"/>
        </w:rPr>
        <w:t xml:space="preserve"> </w:t>
      </w:r>
      <w:r>
        <w:rPr>
          <w:sz w:val="18"/>
        </w:rPr>
        <w:t>are</w:t>
      </w:r>
      <w:r>
        <w:rPr>
          <w:spacing w:val="-2"/>
          <w:sz w:val="18"/>
        </w:rPr>
        <w:t xml:space="preserve"> </w:t>
      </w:r>
      <w:r>
        <w:rPr>
          <w:sz w:val="18"/>
        </w:rPr>
        <w:t>currently</w:t>
      </w:r>
      <w:r>
        <w:rPr>
          <w:spacing w:val="-1"/>
          <w:sz w:val="18"/>
        </w:rPr>
        <w:t xml:space="preserve"> </w:t>
      </w:r>
      <w:r>
        <w:rPr>
          <w:sz w:val="18"/>
        </w:rPr>
        <w:t>subject</w:t>
      </w:r>
      <w:r>
        <w:rPr>
          <w:spacing w:val="-2"/>
          <w:sz w:val="18"/>
        </w:rPr>
        <w:t xml:space="preserve"> </w:t>
      </w:r>
      <w:r>
        <w:rPr>
          <w:sz w:val="18"/>
        </w:rPr>
        <w:t>to</w:t>
      </w:r>
      <w:r>
        <w:rPr>
          <w:spacing w:val="-1"/>
          <w:sz w:val="18"/>
        </w:rPr>
        <w:t xml:space="preserve"> </w:t>
      </w:r>
      <w:r>
        <w:rPr>
          <w:sz w:val="18"/>
        </w:rPr>
        <w:t>EU</w:t>
      </w:r>
      <w:r>
        <w:rPr>
          <w:spacing w:val="-1"/>
          <w:sz w:val="18"/>
        </w:rPr>
        <w:t xml:space="preserve"> </w:t>
      </w:r>
      <w:r>
        <w:rPr>
          <w:sz w:val="18"/>
        </w:rPr>
        <w:t>law</w:t>
      </w:r>
      <w:r>
        <w:rPr>
          <w:spacing w:val="-1"/>
          <w:sz w:val="18"/>
        </w:rPr>
        <w:t xml:space="preserve"> </w:t>
      </w:r>
      <w:r>
        <w:rPr>
          <w:sz w:val="18"/>
        </w:rPr>
        <w:t>and</w:t>
      </w:r>
      <w:r>
        <w:rPr>
          <w:spacing w:val="-2"/>
          <w:sz w:val="18"/>
        </w:rPr>
        <w:t xml:space="preserve"> </w:t>
      </w:r>
      <w:r>
        <w:rPr>
          <w:sz w:val="18"/>
        </w:rPr>
        <w:t>where</w:t>
      </w:r>
      <w:r>
        <w:rPr>
          <w:spacing w:val="-3"/>
          <w:sz w:val="18"/>
        </w:rPr>
        <w:t xml:space="preserve"> </w:t>
      </w:r>
      <w:r>
        <w:rPr>
          <w:sz w:val="18"/>
        </w:rPr>
        <w:t>UK</w:t>
      </w:r>
      <w:r>
        <w:rPr>
          <w:spacing w:val="-1"/>
          <w:sz w:val="18"/>
        </w:rPr>
        <w:t xml:space="preserve"> </w:t>
      </w:r>
      <w:r>
        <w:rPr>
          <w:sz w:val="18"/>
        </w:rPr>
        <w:t>law</w:t>
      </w:r>
      <w:r>
        <w:rPr>
          <w:spacing w:val="-1"/>
          <w:sz w:val="18"/>
        </w:rPr>
        <w:t xml:space="preserve"> </w:t>
      </w:r>
      <w:r>
        <w:rPr>
          <w:sz w:val="18"/>
        </w:rPr>
        <w:t>may</w:t>
      </w:r>
      <w:r>
        <w:rPr>
          <w:spacing w:val="-1"/>
          <w:sz w:val="18"/>
        </w:rPr>
        <w:t xml:space="preserve"> </w:t>
      </w:r>
      <w:r>
        <w:rPr>
          <w:sz w:val="18"/>
        </w:rPr>
        <w:t>diverge</w:t>
      </w:r>
      <w:r>
        <w:rPr>
          <w:spacing w:val="-2"/>
          <w:sz w:val="18"/>
        </w:rPr>
        <w:t xml:space="preserve"> </w:t>
      </w:r>
      <w:r>
        <w:rPr>
          <w:sz w:val="18"/>
        </w:rPr>
        <w:t>from</w:t>
      </w:r>
      <w:r>
        <w:rPr>
          <w:spacing w:val="-2"/>
          <w:sz w:val="18"/>
        </w:rPr>
        <w:t xml:space="preserve"> </w:t>
      </w:r>
      <w:r>
        <w:rPr>
          <w:sz w:val="18"/>
        </w:rPr>
        <w:t>EU regulations following the withdrawal of the United Kingdom from the European</w:t>
      </w:r>
      <w:r>
        <w:rPr>
          <w:spacing w:val="-11"/>
          <w:sz w:val="18"/>
        </w:rPr>
        <w:t xml:space="preserve"> </w:t>
      </w:r>
      <w:r>
        <w:rPr>
          <w:sz w:val="18"/>
        </w:rPr>
        <w:t>Union.</w:t>
      </w:r>
    </w:p>
    <w:p w14:paraId="4ABEA5B3" w14:textId="77777777" w:rsidR="006E34D8" w:rsidRDefault="006F148C">
      <w:pPr>
        <w:pStyle w:val="Heading2"/>
        <w:spacing w:line="216" w:lineRule="exact"/>
      </w:pPr>
      <w:r>
        <w:t>10 marks</w:t>
      </w:r>
    </w:p>
    <w:p w14:paraId="0EE7AAAF" w14:textId="77777777" w:rsidR="006E34D8" w:rsidRDefault="006E34D8">
      <w:pPr>
        <w:pStyle w:val="BodyText"/>
        <w:rPr>
          <w:b/>
        </w:rPr>
      </w:pPr>
    </w:p>
    <w:p w14:paraId="688BA934" w14:textId="77777777" w:rsidR="006E34D8" w:rsidRDefault="006E34D8">
      <w:pPr>
        <w:pStyle w:val="BodyText"/>
        <w:spacing w:before="1"/>
        <w:rPr>
          <w:b/>
          <w:sz w:val="26"/>
        </w:rPr>
      </w:pPr>
    </w:p>
    <w:p w14:paraId="4DFC539C" w14:textId="21362DE2" w:rsidR="006E34D8" w:rsidRPr="002F281E" w:rsidRDefault="006F148C" w:rsidP="002F281E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line="276" w:lineRule="auto"/>
        <w:ind w:right="1690"/>
        <w:rPr>
          <w:sz w:val="18"/>
        </w:rPr>
      </w:pPr>
      <w:r>
        <w:rPr>
          <w:sz w:val="18"/>
        </w:rPr>
        <w:t>The Pensions Regulator's Code of Practice on “governance and administration of occupational trust-based schemes providing money purchase benefits” (the “Code”) came into force on 28 July 2016. Outline five of the six specific areas of good practice that are covered by</w:t>
      </w:r>
      <w:r>
        <w:rPr>
          <w:spacing w:val="-7"/>
          <w:sz w:val="18"/>
        </w:rPr>
        <w:t xml:space="preserve"> </w:t>
      </w:r>
      <w:r>
        <w:rPr>
          <w:sz w:val="18"/>
        </w:rPr>
        <w:t>guidance.</w:t>
      </w:r>
    </w:p>
    <w:p w14:paraId="64205F09" w14:textId="77777777" w:rsidR="006E34D8" w:rsidRDefault="006F148C">
      <w:pPr>
        <w:pStyle w:val="Heading2"/>
      </w:pPr>
      <w:r>
        <w:t>5 marks</w:t>
      </w:r>
    </w:p>
    <w:p w14:paraId="48EAD487" w14:textId="77777777" w:rsidR="006E34D8" w:rsidRDefault="006E34D8">
      <w:pPr>
        <w:pStyle w:val="BodyText"/>
        <w:rPr>
          <w:b/>
          <w:sz w:val="20"/>
        </w:rPr>
      </w:pPr>
    </w:p>
    <w:p w14:paraId="73E82D56" w14:textId="77777777" w:rsidR="006E34D8" w:rsidRDefault="006E34D8">
      <w:pPr>
        <w:pStyle w:val="BodyText"/>
        <w:rPr>
          <w:b/>
          <w:sz w:val="20"/>
        </w:rPr>
      </w:pPr>
    </w:p>
    <w:p w14:paraId="2D202478" w14:textId="77777777" w:rsidR="006E34D8" w:rsidRDefault="006E34D8">
      <w:pPr>
        <w:pStyle w:val="BodyText"/>
        <w:rPr>
          <w:b/>
          <w:sz w:val="20"/>
        </w:rPr>
      </w:pPr>
    </w:p>
    <w:p w14:paraId="4523DC8C" w14:textId="368AFA17" w:rsidR="006E34D8" w:rsidRDefault="006E34D8">
      <w:pPr>
        <w:pStyle w:val="BodyText"/>
        <w:rPr>
          <w:b/>
          <w:sz w:val="20"/>
        </w:rPr>
      </w:pPr>
    </w:p>
    <w:p w14:paraId="0CA906AC" w14:textId="4B719E72" w:rsidR="002F281E" w:rsidRDefault="002F281E">
      <w:pPr>
        <w:pStyle w:val="BodyText"/>
        <w:rPr>
          <w:b/>
          <w:sz w:val="20"/>
        </w:rPr>
      </w:pPr>
    </w:p>
    <w:p w14:paraId="60D84A76" w14:textId="64AD82E8" w:rsidR="002F281E" w:rsidRDefault="002F281E">
      <w:pPr>
        <w:pStyle w:val="BodyText"/>
        <w:rPr>
          <w:b/>
          <w:sz w:val="20"/>
        </w:rPr>
      </w:pPr>
    </w:p>
    <w:p w14:paraId="6F83E9A7" w14:textId="32A790AC" w:rsidR="002F281E" w:rsidRDefault="002F281E">
      <w:pPr>
        <w:pStyle w:val="BodyText"/>
        <w:rPr>
          <w:b/>
          <w:sz w:val="20"/>
        </w:rPr>
      </w:pPr>
    </w:p>
    <w:p w14:paraId="6165EAA1" w14:textId="77777777" w:rsidR="002F281E" w:rsidRDefault="002F281E">
      <w:pPr>
        <w:pStyle w:val="BodyText"/>
        <w:rPr>
          <w:b/>
          <w:sz w:val="20"/>
        </w:rPr>
      </w:pPr>
    </w:p>
    <w:p w14:paraId="0BD0AF3E" w14:textId="77777777" w:rsidR="006E34D8" w:rsidRDefault="006E34D8">
      <w:pPr>
        <w:pStyle w:val="BodyText"/>
        <w:rPr>
          <w:b/>
          <w:sz w:val="20"/>
        </w:rPr>
      </w:pPr>
    </w:p>
    <w:p w14:paraId="5FDFA2D5" w14:textId="77777777" w:rsidR="006E34D8" w:rsidRDefault="006E34D8">
      <w:pPr>
        <w:pStyle w:val="BodyText"/>
        <w:rPr>
          <w:b/>
          <w:sz w:val="20"/>
        </w:rPr>
      </w:pPr>
    </w:p>
    <w:p w14:paraId="21769FE5" w14:textId="77777777" w:rsidR="006E34D8" w:rsidRDefault="006E34D8">
      <w:pPr>
        <w:pStyle w:val="BodyText"/>
        <w:spacing w:before="9"/>
        <w:rPr>
          <w:b/>
          <w:sz w:val="17"/>
        </w:rPr>
      </w:pPr>
    </w:p>
    <w:p w14:paraId="5EE0D7DA" w14:textId="77777777" w:rsidR="006E34D8" w:rsidRDefault="006F148C">
      <w:pPr>
        <w:tabs>
          <w:tab w:val="left" w:pos="7301"/>
        </w:tabs>
        <w:ind w:left="100"/>
        <w:rPr>
          <w:sz w:val="16"/>
        </w:rPr>
      </w:pPr>
      <w:r>
        <w:rPr>
          <w:sz w:val="16"/>
        </w:rPr>
        <w:t>Core Unit 2</w:t>
      </w:r>
      <w:r>
        <w:rPr>
          <w:spacing w:val="-5"/>
          <w:sz w:val="16"/>
        </w:rPr>
        <w:t xml:space="preserve"> </w:t>
      </w:r>
      <w:r>
        <w:rPr>
          <w:sz w:val="16"/>
        </w:rPr>
        <w:t>Assignment</w:t>
      </w:r>
      <w:r>
        <w:rPr>
          <w:spacing w:val="-2"/>
          <w:sz w:val="16"/>
        </w:rPr>
        <w:t xml:space="preserve"> </w:t>
      </w:r>
      <w:r>
        <w:rPr>
          <w:sz w:val="16"/>
        </w:rPr>
        <w:t>4</w:t>
      </w:r>
      <w:r>
        <w:rPr>
          <w:sz w:val="16"/>
        </w:rPr>
        <w:tab/>
        <w:t>2020</w:t>
      </w:r>
      <w:r>
        <w:rPr>
          <w:spacing w:val="-1"/>
          <w:sz w:val="16"/>
        </w:rPr>
        <w:t xml:space="preserve"> </w:t>
      </w:r>
      <w:r>
        <w:rPr>
          <w:sz w:val="16"/>
        </w:rPr>
        <w:t>Edition</w:t>
      </w:r>
    </w:p>
    <w:p w14:paraId="72C5A0DB" w14:textId="77777777" w:rsidR="006E34D8" w:rsidRDefault="006F148C">
      <w:pPr>
        <w:spacing w:before="28"/>
        <w:ind w:left="100"/>
        <w:rPr>
          <w:sz w:val="16"/>
        </w:rPr>
      </w:pPr>
      <w:r>
        <w:rPr>
          <w:sz w:val="16"/>
        </w:rPr>
        <w:t>© The Pensions Management Institute 2020</w:t>
      </w:r>
    </w:p>
    <w:sectPr w:rsidR="006E34D8">
      <w:headerReference w:type="default" r:id="rId7"/>
      <w:type w:val="continuous"/>
      <w:pgSz w:w="11910" w:h="16840"/>
      <w:pgMar w:top="140" w:right="0" w:bottom="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FDCE24" w14:textId="77777777" w:rsidR="002F281E" w:rsidRDefault="002F281E" w:rsidP="002F281E">
      <w:r>
        <w:separator/>
      </w:r>
    </w:p>
  </w:endnote>
  <w:endnote w:type="continuationSeparator" w:id="0">
    <w:p w14:paraId="6D4DCDE2" w14:textId="77777777" w:rsidR="002F281E" w:rsidRDefault="002F281E" w:rsidP="002F28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rlito">
    <w:altName w:val="Calibri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F6E05F" w14:textId="77777777" w:rsidR="002F281E" w:rsidRDefault="002F281E" w:rsidP="002F281E">
      <w:r>
        <w:separator/>
      </w:r>
    </w:p>
  </w:footnote>
  <w:footnote w:type="continuationSeparator" w:id="0">
    <w:p w14:paraId="2CE15233" w14:textId="77777777" w:rsidR="002F281E" w:rsidRDefault="002F281E" w:rsidP="002F28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BF5D68" w14:textId="7DEC0746" w:rsidR="002F281E" w:rsidRDefault="002F281E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2DFF6B9" wp14:editId="1338ABEC">
          <wp:simplePos x="0" y="0"/>
          <wp:positionH relativeFrom="margin">
            <wp:align>left</wp:align>
          </wp:positionH>
          <wp:positionV relativeFrom="paragraph">
            <wp:posOffset>-368300</wp:posOffset>
          </wp:positionV>
          <wp:extent cx="2339975" cy="1282700"/>
          <wp:effectExtent l="0" t="0" r="3175" b="0"/>
          <wp:wrapTopAndBottom/>
          <wp:docPr id="6" name="Picture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9975" cy="1282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055F9D"/>
    <w:multiLevelType w:val="hybridMultilevel"/>
    <w:tmpl w:val="C898053A"/>
    <w:lvl w:ilvl="0" w:tplc="E06076C8">
      <w:start w:val="1"/>
      <w:numFmt w:val="decimal"/>
      <w:lvlText w:val="%1."/>
      <w:lvlJc w:val="left"/>
      <w:pPr>
        <w:ind w:left="460" w:hanging="360"/>
        <w:jc w:val="left"/>
      </w:pPr>
      <w:rPr>
        <w:rFonts w:ascii="Carlito" w:eastAsia="Carlito" w:hAnsi="Carlito" w:cs="Carlito" w:hint="default"/>
        <w:spacing w:val="-2"/>
        <w:w w:val="100"/>
        <w:sz w:val="18"/>
        <w:szCs w:val="18"/>
        <w:lang w:val="en-US" w:eastAsia="en-US" w:bidi="ar-SA"/>
      </w:rPr>
    </w:lvl>
    <w:lvl w:ilvl="1" w:tplc="4160749C">
      <w:numFmt w:val="bullet"/>
      <w:lvlText w:val="•"/>
      <w:lvlJc w:val="left"/>
      <w:pPr>
        <w:ind w:left="8160" w:hanging="360"/>
      </w:pPr>
      <w:rPr>
        <w:rFonts w:hint="default"/>
        <w:lang w:val="en-US" w:eastAsia="en-US" w:bidi="ar-SA"/>
      </w:rPr>
    </w:lvl>
    <w:lvl w:ilvl="2" w:tplc="FDECFD28">
      <w:numFmt w:val="bullet"/>
      <w:lvlText w:val="•"/>
      <w:lvlJc w:val="left"/>
      <w:pPr>
        <w:ind w:left="8240" w:hanging="360"/>
      </w:pPr>
      <w:rPr>
        <w:rFonts w:hint="default"/>
        <w:lang w:val="en-US" w:eastAsia="en-US" w:bidi="ar-SA"/>
      </w:rPr>
    </w:lvl>
    <w:lvl w:ilvl="3" w:tplc="A772298C">
      <w:numFmt w:val="bullet"/>
      <w:lvlText w:val="•"/>
      <w:lvlJc w:val="left"/>
      <w:pPr>
        <w:ind w:left="8530" w:hanging="360"/>
      </w:pPr>
      <w:rPr>
        <w:rFonts w:hint="default"/>
        <w:lang w:val="en-US" w:eastAsia="en-US" w:bidi="ar-SA"/>
      </w:rPr>
    </w:lvl>
    <w:lvl w:ilvl="4" w:tplc="353EF7EA">
      <w:numFmt w:val="bullet"/>
      <w:lvlText w:val="•"/>
      <w:lvlJc w:val="left"/>
      <w:pPr>
        <w:ind w:left="8821" w:hanging="360"/>
      </w:pPr>
      <w:rPr>
        <w:rFonts w:hint="default"/>
        <w:lang w:val="en-US" w:eastAsia="en-US" w:bidi="ar-SA"/>
      </w:rPr>
    </w:lvl>
    <w:lvl w:ilvl="5" w:tplc="58E6C9A2">
      <w:numFmt w:val="bullet"/>
      <w:lvlText w:val="•"/>
      <w:lvlJc w:val="left"/>
      <w:pPr>
        <w:ind w:left="9112" w:hanging="360"/>
      </w:pPr>
      <w:rPr>
        <w:rFonts w:hint="default"/>
        <w:lang w:val="en-US" w:eastAsia="en-US" w:bidi="ar-SA"/>
      </w:rPr>
    </w:lvl>
    <w:lvl w:ilvl="6" w:tplc="D612F448">
      <w:numFmt w:val="bullet"/>
      <w:lvlText w:val="•"/>
      <w:lvlJc w:val="left"/>
      <w:pPr>
        <w:ind w:left="9403" w:hanging="360"/>
      </w:pPr>
      <w:rPr>
        <w:rFonts w:hint="default"/>
        <w:lang w:val="en-US" w:eastAsia="en-US" w:bidi="ar-SA"/>
      </w:rPr>
    </w:lvl>
    <w:lvl w:ilvl="7" w:tplc="004A8E4C">
      <w:numFmt w:val="bullet"/>
      <w:lvlText w:val="•"/>
      <w:lvlJc w:val="left"/>
      <w:pPr>
        <w:ind w:left="9694" w:hanging="360"/>
      </w:pPr>
      <w:rPr>
        <w:rFonts w:hint="default"/>
        <w:lang w:val="en-US" w:eastAsia="en-US" w:bidi="ar-SA"/>
      </w:rPr>
    </w:lvl>
    <w:lvl w:ilvl="8" w:tplc="630ACA72">
      <w:numFmt w:val="bullet"/>
      <w:lvlText w:val="•"/>
      <w:lvlJc w:val="left"/>
      <w:pPr>
        <w:ind w:left="9984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4D8"/>
    <w:rsid w:val="002F281E"/>
    <w:rsid w:val="006E34D8"/>
    <w:rsid w:val="006F1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A9F50C"/>
  <w15:docId w15:val="{D59E5CF6-4A9A-4CB3-911A-8B5FEA17B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rlito" w:eastAsia="Carlito" w:hAnsi="Carlito" w:cs="Carlito"/>
    </w:rPr>
  </w:style>
  <w:style w:type="paragraph" w:styleId="Heading1">
    <w:name w:val="heading 1"/>
    <w:basedOn w:val="Normal"/>
    <w:uiPriority w:val="9"/>
    <w:qFormat/>
    <w:pPr>
      <w:spacing w:before="27"/>
      <w:ind w:left="1975" w:right="3430"/>
      <w:jc w:val="center"/>
      <w:outlineLvl w:val="0"/>
    </w:pPr>
    <w:rPr>
      <w:sz w:val="36"/>
      <w:szCs w:val="36"/>
    </w:rPr>
  </w:style>
  <w:style w:type="paragraph" w:styleId="Heading2">
    <w:name w:val="heading 2"/>
    <w:basedOn w:val="Normal"/>
    <w:uiPriority w:val="9"/>
    <w:unhideWhenUsed/>
    <w:qFormat/>
    <w:pPr>
      <w:ind w:left="8021"/>
      <w:outlineLvl w:val="1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  <w:pPr>
      <w:ind w:left="527" w:hanging="428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2F281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281E"/>
    <w:rPr>
      <w:rFonts w:ascii="Carlito" w:eastAsia="Carlito" w:hAnsi="Carlito" w:cs="Carlito"/>
    </w:rPr>
  </w:style>
  <w:style w:type="paragraph" w:styleId="Footer">
    <w:name w:val="footer"/>
    <w:basedOn w:val="Normal"/>
    <w:link w:val="FooterChar"/>
    <w:uiPriority w:val="99"/>
    <w:unhideWhenUsed/>
    <w:rsid w:val="002F281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281E"/>
    <w:rPr>
      <w:rFonts w:ascii="Carlito" w:eastAsia="Carlito" w:hAnsi="Carlito" w:cs="Carli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196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Sanchez</dc:creator>
  <cp:lastModifiedBy>Mohamed Alim Uddin</cp:lastModifiedBy>
  <cp:revision>3</cp:revision>
  <dcterms:created xsi:type="dcterms:W3CDTF">2021-01-25T13:12:00Z</dcterms:created>
  <dcterms:modified xsi:type="dcterms:W3CDTF">2021-01-28T11:19:00Z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2019-12-22T00:00:00Z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2021-01-22T00:00:00Z</vt:filetime>
  </property>
</Properties>
</file>