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F9BFF" w14:textId="77777777" w:rsidR="00CC16C9" w:rsidRDefault="00CC16C9">
      <w:pPr>
        <w:pStyle w:val="BodyText"/>
        <w:rPr>
          <w:rFonts w:ascii="Times New Roman"/>
        </w:rPr>
      </w:pPr>
    </w:p>
    <w:p w14:paraId="72804B18" w14:textId="77777777" w:rsidR="00CC16C9" w:rsidRDefault="00BA78DA">
      <w:pPr>
        <w:pStyle w:val="Title"/>
      </w:pPr>
      <w:r>
        <w:t>Core Unit 2 – Regulation of Retirement Provision</w:t>
      </w:r>
    </w:p>
    <w:p w14:paraId="3ECDC02B" w14:textId="77777777" w:rsidR="00CC16C9" w:rsidRDefault="00BA78DA">
      <w:pPr>
        <w:spacing w:before="64"/>
        <w:ind w:left="904" w:right="881"/>
        <w:jc w:val="center"/>
        <w:rPr>
          <w:sz w:val="28"/>
        </w:rPr>
      </w:pPr>
      <w:r>
        <w:rPr>
          <w:sz w:val="28"/>
        </w:rPr>
        <w:t>Assignment 4 Notes</w:t>
      </w:r>
    </w:p>
    <w:p w14:paraId="7652138D" w14:textId="77777777" w:rsidR="00CC16C9" w:rsidRDefault="00BA78DA">
      <w:pPr>
        <w:spacing w:before="51"/>
        <w:ind w:left="904" w:right="880"/>
        <w:jc w:val="center"/>
        <w:rPr>
          <w:i/>
          <w:sz w:val="18"/>
        </w:rPr>
      </w:pPr>
      <w:r>
        <w:rPr>
          <w:i/>
          <w:sz w:val="18"/>
        </w:rPr>
        <w:t>(Part 5 – Governance Requirements and Part 6 – Current Issues)</w:t>
      </w:r>
    </w:p>
    <w:p w14:paraId="45C4F192" w14:textId="77777777" w:rsidR="00CC16C9" w:rsidRDefault="00CC16C9">
      <w:pPr>
        <w:pStyle w:val="BodyText"/>
        <w:spacing w:before="9"/>
        <w:rPr>
          <w:i/>
          <w:sz w:val="20"/>
        </w:rPr>
      </w:pPr>
    </w:p>
    <w:p w14:paraId="2F7456DD" w14:textId="77777777" w:rsidR="00CC16C9" w:rsidRDefault="00BA78DA">
      <w:pPr>
        <w:ind w:left="881" w:right="885"/>
        <w:jc w:val="center"/>
        <w:rPr>
          <w:i/>
          <w:sz w:val="16"/>
        </w:rPr>
      </w:pPr>
      <w:r>
        <w:rPr>
          <w:i/>
          <w:sz w:val="16"/>
        </w:rPr>
        <w:t>Recommended Time: 1 Hour</w:t>
      </w:r>
    </w:p>
    <w:p w14:paraId="1D353A8C" w14:textId="77777777" w:rsidR="00CC16C9" w:rsidRDefault="00CC16C9">
      <w:pPr>
        <w:pStyle w:val="BodyText"/>
        <w:rPr>
          <w:i/>
          <w:sz w:val="20"/>
        </w:rPr>
      </w:pPr>
    </w:p>
    <w:p w14:paraId="1E13D3AB" w14:textId="77777777" w:rsidR="00CC16C9" w:rsidRDefault="00CC16C9">
      <w:pPr>
        <w:pStyle w:val="BodyText"/>
        <w:spacing w:before="4"/>
        <w:rPr>
          <w:i/>
        </w:rPr>
      </w:pPr>
    </w:p>
    <w:p w14:paraId="79AC138B" w14:textId="77777777" w:rsidR="00CC16C9" w:rsidRDefault="00BA78DA">
      <w:pPr>
        <w:pStyle w:val="Heading1"/>
        <w:numPr>
          <w:ilvl w:val="0"/>
          <w:numId w:val="1"/>
        </w:numPr>
        <w:tabs>
          <w:tab w:val="left" w:pos="460"/>
          <w:tab w:val="left" w:pos="461"/>
        </w:tabs>
        <w:spacing w:before="64"/>
        <w:ind w:hanging="361"/>
      </w:pPr>
      <w:r>
        <w:t>List some key risk indicators for trustees and members to spot pensions liberation</w:t>
      </w:r>
      <w:r>
        <w:rPr>
          <w:spacing w:val="-6"/>
        </w:rPr>
        <w:t xml:space="preserve"> </w:t>
      </w:r>
      <w:r>
        <w:t>scams.</w:t>
      </w:r>
    </w:p>
    <w:p w14:paraId="3C9E01AB" w14:textId="57F41A8D" w:rsidR="00CC16C9" w:rsidRPr="00E60EE7" w:rsidRDefault="00BA78DA" w:rsidP="00E60EE7">
      <w:pPr>
        <w:spacing w:before="33"/>
        <w:ind w:left="8021"/>
        <w:rPr>
          <w:b/>
          <w:sz w:val="18"/>
        </w:rPr>
      </w:pPr>
      <w:r>
        <w:rPr>
          <w:b/>
          <w:sz w:val="18"/>
        </w:rPr>
        <w:t>5 marks</w:t>
      </w:r>
    </w:p>
    <w:p w14:paraId="1AD36474" w14:textId="4B0E2BA2" w:rsidR="00635C00" w:rsidRDefault="00BA78DA" w:rsidP="00635C00">
      <w:pPr>
        <w:pStyle w:val="BodyText"/>
        <w:spacing w:before="63"/>
        <w:ind w:left="527"/>
      </w:pPr>
      <w:r>
        <w:t>Answer should cover:</w:t>
      </w:r>
    </w:p>
    <w:p w14:paraId="14B2DBFC" w14:textId="5028DF5F" w:rsidR="00CC16C9" w:rsidRDefault="00635C00">
      <w:pPr>
        <w:pStyle w:val="BodyText"/>
        <w:spacing w:before="63"/>
        <w:ind w:left="527"/>
      </w:pPr>
      <w:r w:rsidRPr="00635C00">
        <w:t xml:space="preserve">Members are often targeted by unsolicited text messages and cold calling. They are offered pension reviews, higher returns on investments, pension loans and upfront cash to lure them into transferring. Members may also </w:t>
      </w:r>
      <w:r>
        <w:t xml:space="preserve">be </w:t>
      </w:r>
      <w:r w:rsidRPr="00635C00">
        <w:t>pressured by liberators to push through the transfer and sign the paperwork quickly</w:t>
      </w:r>
    </w:p>
    <w:p w14:paraId="2CAE0460" w14:textId="77777777" w:rsidR="00CC16C9" w:rsidRDefault="00CC16C9">
      <w:pPr>
        <w:pStyle w:val="BodyText"/>
      </w:pPr>
    </w:p>
    <w:p w14:paraId="2AEAA8B3" w14:textId="77777777" w:rsidR="00CC16C9" w:rsidRDefault="00BA78DA">
      <w:pPr>
        <w:pStyle w:val="BodyText"/>
        <w:spacing w:line="219" w:lineRule="exact"/>
        <w:ind w:left="527"/>
      </w:pPr>
      <w:r>
        <w:rPr>
          <w:color w:val="221F1F"/>
        </w:rPr>
        <w:t>Some key risk indicators for trustees and members to spot a scam include:</w:t>
      </w:r>
    </w:p>
    <w:p w14:paraId="07569BFE" w14:textId="77777777" w:rsidR="00CC16C9" w:rsidRDefault="00BA78DA">
      <w:pPr>
        <w:pStyle w:val="ListParagraph"/>
        <w:numPr>
          <w:ilvl w:val="1"/>
          <w:numId w:val="1"/>
        </w:numPr>
        <w:tabs>
          <w:tab w:val="left" w:pos="1247"/>
          <w:tab w:val="left" w:pos="1248"/>
        </w:tabs>
        <w:ind w:left="1247" w:hanging="361"/>
        <w:rPr>
          <w:rFonts w:ascii="Symbol" w:hAnsi="Symbol"/>
          <w:color w:val="221F1F"/>
          <w:sz w:val="18"/>
        </w:rPr>
      </w:pPr>
      <w:r>
        <w:rPr>
          <w:color w:val="221F1F"/>
          <w:sz w:val="18"/>
        </w:rPr>
        <w:t>newly established schemes with little or no formal</w:t>
      </w:r>
      <w:r>
        <w:rPr>
          <w:color w:val="221F1F"/>
          <w:spacing w:val="-6"/>
          <w:sz w:val="18"/>
        </w:rPr>
        <w:t xml:space="preserve"> </w:t>
      </w:r>
      <w:proofErr w:type="gramStart"/>
      <w:r>
        <w:rPr>
          <w:color w:val="221F1F"/>
          <w:sz w:val="18"/>
        </w:rPr>
        <w:t>documentation;</w:t>
      </w:r>
      <w:proofErr w:type="gramEnd"/>
    </w:p>
    <w:p w14:paraId="20AB2542" w14:textId="77777777" w:rsidR="00CC16C9" w:rsidRDefault="00BA78DA">
      <w:pPr>
        <w:pStyle w:val="ListParagraph"/>
        <w:numPr>
          <w:ilvl w:val="1"/>
          <w:numId w:val="1"/>
        </w:numPr>
        <w:tabs>
          <w:tab w:val="left" w:pos="1247"/>
          <w:tab w:val="left" w:pos="1248"/>
        </w:tabs>
        <w:spacing w:before="1"/>
        <w:ind w:left="1247" w:hanging="361"/>
        <w:rPr>
          <w:rFonts w:ascii="Symbol" w:hAnsi="Symbol"/>
          <w:color w:val="221F1F"/>
          <w:sz w:val="18"/>
        </w:rPr>
      </w:pPr>
      <w:r>
        <w:rPr>
          <w:color w:val="221F1F"/>
          <w:sz w:val="18"/>
        </w:rPr>
        <w:t>cold calling or unsolicited text or</w:t>
      </w:r>
      <w:r>
        <w:rPr>
          <w:color w:val="221F1F"/>
          <w:spacing w:val="-4"/>
          <w:sz w:val="18"/>
        </w:rPr>
        <w:t xml:space="preserve"> </w:t>
      </w:r>
      <w:proofErr w:type="gramStart"/>
      <w:r>
        <w:rPr>
          <w:color w:val="221F1F"/>
          <w:sz w:val="18"/>
        </w:rPr>
        <w:t>emails;</w:t>
      </w:r>
      <w:proofErr w:type="gramEnd"/>
    </w:p>
    <w:p w14:paraId="60C1217A" w14:textId="77777777" w:rsidR="00CC16C9" w:rsidRDefault="00BA78DA">
      <w:pPr>
        <w:pStyle w:val="ListParagraph"/>
        <w:numPr>
          <w:ilvl w:val="1"/>
          <w:numId w:val="1"/>
        </w:numPr>
        <w:tabs>
          <w:tab w:val="left" w:pos="1247"/>
          <w:tab w:val="left" w:pos="1248"/>
        </w:tabs>
        <w:ind w:left="1247" w:hanging="361"/>
        <w:rPr>
          <w:rFonts w:ascii="Symbol" w:hAnsi="Symbol"/>
          <w:color w:val="221F1F"/>
          <w:sz w:val="18"/>
        </w:rPr>
      </w:pPr>
      <w:r>
        <w:rPr>
          <w:color w:val="221F1F"/>
          <w:sz w:val="18"/>
        </w:rPr>
        <w:t>pressure to force through the transfer</w:t>
      </w:r>
      <w:r>
        <w:rPr>
          <w:color w:val="221F1F"/>
          <w:spacing w:val="-3"/>
          <w:sz w:val="18"/>
        </w:rPr>
        <w:t xml:space="preserve"> </w:t>
      </w:r>
      <w:proofErr w:type="gramStart"/>
      <w:r>
        <w:rPr>
          <w:color w:val="221F1F"/>
          <w:sz w:val="18"/>
        </w:rPr>
        <w:t>quickly;</w:t>
      </w:r>
      <w:proofErr w:type="gramEnd"/>
    </w:p>
    <w:p w14:paraId="6C2E309E" w14:textId="77777777" w:rsidR="00CC16C9" w:rsidRDefault="00BA78DA">
      <w:pPr>
        <w:pStyle w:val="ListParagraph"/>
        <w:numPr>
          <w:ilvl w:val="1"/>
          <w:numId w:val="1"/>
        </w:numPr>
        <w:tabs>
          <w:tab w:val="left" w:pos="1247"/>
          <w:tab w:val="left" w:pos="1248"/>
        </w:tabs>
        <w:spacing w:before="1"/>
        <w:ind w:left="1247" w:hanging="361"/>
        <w:rPr>
          <w:rFonts w:ascii="Symbol" w:hAnsi="Symbol"/>
          <w:color w:val="221F1F"/>
          <w:sz w:val="18"/>
        </w:rPr>
      </w:pPr>
      <w:r>
        <w:rPr>
          <w:color w:val="221F1F"/>
          <w:sz w:val="18"/>
        </w:rPr>
        <w:t>encouragement to take cash and reinvest</w:t>
      </w:r>
      <w:r>
        <w:rPr>
          <w:color w:val="221F1F"/>
          <w:spacing w:val="-3"/>
          <w:sz w:val="18"/>
        </w:rPr>
        <w:t xml:space="preserve"> </w:t>
      </w:r>
      <w:proofErr w:type="gramStart"/>
      <w:r>
        <w:rPr>
          <w:color w:val="221F1F"/>
          <w:sz w:val="18"/>
        </w:rPr>
        <w:t>it;</w:t>
      </w:r>
      <w:proofErr w:type="gramEnd"/>
    </w:p>
    <w:p w14:paraId="430BFB6F" w14:textId="77777777" w:rsidR="00CC16C9" w:rsidRDefault="00BA78DA">
      <w:pPr>
        <w:pStyle w:val="ListParagraph"/>
        <w:numPr>
          <w:ilvl w:val="1"/>
          <w:numId w:val="1"/>
        </w:numPr>
        <w:tabs>
          <w:tab w:val="left" w:pos="1247"/>
          <w:tab w:val="left" w:pos="1248"/>
        </w:tabs>
        <w:ind w:left="1247" w:hanging="361"/>
        <w:rPr>
          <w:rFonts w:ascii="Symbol" w:hAnsi="Symbol"/>
          <w:color w:val="221F1F"/>
          <w:sz w:val="18"/>
        </w:rPr>
      </w:pPr>
      <w:r>
        <w:rPr>
          <w:color w:val="221F1F"/>
          <w:sz w:val="18"/>
        </w:rPr>
        <w:t>claims to allow access to pension before age 55;</w:t>
      </w:r>
      <w:r>
        <w:rPr>
          <w:color w:val="221F1F"/>
          <w:spacing w:val="-7"/>
          <w:sz w:val="18"/>
        </w:rPr>
        <w:t xml:space="preserve"> </w:t>
      </w:r>
      <w:r>
        <w:rPr>
          <w:color w:val="221F1F"/>
          <w:sz w:val="18"/>
        </w:rPr>
        <w:t>and</w:t>
      </w:r>
    </w:p>
    <w:p w14:paraId="48CFAD09" w14:textId="2438B3E0" w:rsidR="00CC16C9" w:rsidRPr="00E60EE7" w:rsidRDefault="00BA78DA" w:rsidP="00E60EE7">
      <w:pPr>
        <w:pStyle w:val="ListParagraph"/>
        <w:numPr>
          <w:ilvl w:val="1"/>
          <w:numId w:val="1"/>
        </w:numPr>
        <w:tabs>
          <w:tab w:val="left" w:pos="1247"/>
          <w:tab w:val="left" w:pos="1248"/>
        </w:tabs>
        <w:spacing w:before="2" w:line="494" w:lineRule="auto"/>
        <w:ind w:left="527" w:right="4160" w:firstLine="359"/>
        <w:rPr>
          <w:rFonts w:ascii="Symbol" w:hAnsi="Symbol"/>
          <w:color w:val="221F1F"/>
          <w:sz w:val="18"/>
        </w:rPr>
      </w:pPr>
      <w:r>
        <w:rPr>
          <w:color w:val="221F1F"/>
          <w:sz w:val="18"/>
        </w:rPr>
        <w:t>transfers of money into an overseas investment.</w:t>
      </w:r>
      <w:r>
        <w:rPr>
          <w:sz w:val="18"/>
        </w:rPr>
        <w:t xml:space="preserve"> </w:t>
      </w:r>
      <w:r>
        <w:rPr>
          <w:spacing w:val="-6"/>
          <w:sz w:val="18"/>
        </w:rPr>
        <w:t>(Relevant</w:t>
      </w:r>
      <w:r>
        <w:rPr>
          <w:spacing w:val="-13"/>
          <w:sz w:val="18"/>
        </w:rPr>
        <w:t xml:space="preserve"> </w:t>
      </w:r>
      <w:r>
        <w:rPr>
          <w:spacing w:val="-6"/>
          <w:sz w:val="18"/>
        </w:rPr>
        <w:t>section</w:t>
      </w:r>
      <w:r>
        <w:rPr>
          <w:spacing w:val="-16"/>
          <w:sz w:val="18"/>
        </w:rPr>
        <w:t xml:space="preserve"> </w:t>
      </w:r>
      <w:r>
        <w:rPr>
          <w:sz w:val="18"/>
        </w:rPr>
        <w:t>of</w:t>
      </w:r>
      <w:r>
        <w:rPr>
          <w:spacing w:val="-12"/>
          <w:sz w:val="18"/>
        </w:rPr>
        <w:t xml:space="preserve"> </w:t>
      </w:r>
      <w:r>
        <w:rPr>
          <w:spacing w:val="-5"/>
          <w:sz w:val="18"/>
        </w:rPr>
        <w:t>the</w:t>
      </w:r>
      <w:r>
        <w:rPr>
          <w:spacing w:val="-13"/>
          <w:sz w:val="18"/>
        </w:rPr>
        <w:t xml:space="preserve"> </w:t>
      </w:r>
      <w:r>
        <w:rPr>
          <w:spacing w:val="-5"/>
          <w:sz w:val="18"/>
        </w:rPr>
        <w:t>manual</w:t>
      </w:r>
      <w:r>
        <w:rPr>
          <w:spacing w:val="-13"/>
          <w:sz w:val="18"/>
        </w:rPr>
        <w:t xml:space="preserve"> </w:t>
      </w:r>
      <w:r>
        <w:rPr>
          <w:spacing w:val="-3"/>
          <w:sz w:val="18"/>
        </w:rPr>
        <w:t>is</w:t>
      </w:r>
      <w:r>
        <w:rPr>
          <w:spacing w:val="-14"/>
          <w:sz w:val="18"/>
        </w:rPr>
        <w:t xml:space="preserve"> </w:t>
      </w:r>
      <w:r>
        <w:rPr>
          <w:spacing w:val="-5"/>
          <w:sz w:val="18"/>
        </w:rPr>
        <w:t>Part</w:t>
      </w:r>
      <w:r>
        <w:rPr>
          <w:spacing w:val="-13"/>
          <w:sz w:val="18"/>
        </w:rPr>
        <w:t xml:space="preserve"> </w:t>
      </w:r>
      <w:r>
        <w:rPr>
          <w:sz w:val="18"/>
        </w:rPr>
        <w:t>6</w:t>
      </w:r>
      <w:r>
        <w:rPr>
          <w:spacing w:val="-12"/>
          <w:sz w:val="18"/>
        </w:rPr>
        <w:t xml:space="preserve"> </w:t>
      </w:r>
      <w:r>
        <w:rPr>
          <w:spacing w:val="-6"/>
          <w:sz w:val="18"/>
        </w:rPr>
        <w:t>Chapter</w:t>
      </w:r>
      <w:r>
        <w:rPr>
          <w:spacing w:val="-13"/>
          <w:sz w:val="18"/>
        </w:rPr>
        <w:t xml:space="preserve"> </w:t>
      </w:r>
      <w:r>
        <w:rPr>
          <w:spacing w:val="-6"/>
          <w:sz w:val="18"/>
        </w:rPr>
        <w:t>2.1)</w:t>
      </w:r>
    </w:p>
    <w:p w14:paraId="622E1F5D" w14:textId="77777777" w:rsidR="00CC16C9" w:rsidRDefault="00BA78DA">
      <w:pPr>
        <w:pStyle w:val="Heading1"/>
        <w:numPr>
          <w:ilvl w:val="0"/>
          <w:numId w:val="1"/>
        </w:numPr>
        <w:tabs>
          <w:tab w:val="left" w:pos="527"/>
          <w:tab w:val="left" w:pos="528"/>
        </w:tabs>
        <w:ind w:left="527" w:hanging="428"/>
      </w:pPr>
      <w:r>
        <w:t xml:space="preserve">Outline the Statutory Right </w:t>
      </w:r>
      <w:proofErr w:type="gramStart"/>
      <w:r>
        <w:t>To</w:t>
      </w:r>
      <w:proofErr w:type="gramEnd"/>
      <w:r>
        <w:rPr>
          <w:spacing w:val="-1"/>
        </w:rPr>
        <w:t xml:space="preserve"> </w:t>
      </w:r>
      <w:r>
        <w:t>Transfer.</w:t>
      </w:r>
    </w:p>
    <w:p w14:paraId="348108C2" w14:textId="4AAB7A06" w:rsidR="00CC16C9" w:rsidRPr="00E60EE7" w:rsidRDefault="00BA78DA" w:rsidP="00E60EE7">
      <w:pPr>
        <w:spacing w:before="33"/>
        <w:ind w:left="8021"/>
        <w:rPr>
          <w:b/>
          <w:sz w:val="18"/>
        </w:rPr>
      </w:pPr>
      <w:r>
        <w:rPr>
          <w:b/>
          <w:sz w:val="18"/>
        </w:rPr>
        <w:t>5 marks</w:t>
      </w:r>
    </w:p>
    <w:p w14:paraId="5539DC42" w14:textId="77777777" w:rsidR="00CC16C9" w:rsidRDefault="00BA78DA">
      <w:pPr>
        <w:pStyle w:val="BodyText"/>
        <w:spacing w:before="64"/>
        <w:ind w:left="527"/>
      </w:pPr>
      <w:r>
        <w:t>Answer should cover:</w:t>
      </w:r>
    </w:p>
    <w:p w14:paraId="27C3AB64" w14:textId="77777777" w:rsidR="00CC16C9" w:rsidRDefault="00CC16C9">
      <w:pPr>
        <w:pStyle w:val="BodyText"/>
      </w:pPr>
    </w:p>
    <w:p w14:paraId="1892E5E2" w14:textId="77777777" w:rsidR="00CC16C9" w:rsidRDefault="00BA78DA">
      <w:pPr>
        <w:pStyle w:val="ListParagraph"/>
        <w:numPr>
          <w:ilvl w:val="1"/>
          <w:numId w:val="1"/>
        </w:numPr>
        <w:tabs>
          <w:tab w:val="left" w:pos="1247"/>
          <w:tab w:val="left" w:pos="1248"/>
        </w:tabs>
        <w:spacing w:line="240" w:lineRule="auto"/>
        <w:ind w:left="1247" w:right="394"/>
        <w:rPr>
          <w:rFonts w:ascii="Symbol" w:hAnsi="Symbol"/>
          <w:color w:val="221F1F"/>
          <w:sz w:val="18"/>
        </w:rPr>
      </w:pPr>
      <w:r>
        <w:rPr>
          <w:color w:val="221F1F"/>
          <w:sz w:val="18"/>
        </w:rPr>
        <w:t>Section 94 of PSA 1993 provides a right for a member of an occupational scheme who has ended his pensionable service to take a cash equivalent transfer value</w:t>
      </w:r>
      <w:r>
        <w:rPr>
          <w:color w:val="221F1F"/>
          <w:spacing w:val="-9"/>
          <w:sz w:val="18"/>
        </w:rPr>
        <w:t xml:space="preserve"> </w:t>
      </w:r>
      <w:r>
        <w:rPr>
          <w:color w:val="221F1F"/>
          <w:sz w:val="18"/>
        </w:rPr>
        <w:t>(CETV).</w:t>
      </w:r>
    </w:p>
    <w:p w14:paraId="5689DEAD" w14:textId="77777777" w:rsidR="00CC16C9" w:rsidRDefault="00BA78DA">
      <w:pPr>
        <w:pStyle w:val="ListParagraph"/>
        <w:numPr>
          <w:ilvl w:val="1"/>
          <w:numId w:val="1"/>
        </w:numPr>
        <w:tabs>
          <w:tab w:val="left" w:pos="1247"/>
          <w:tab w:val="left" w:pos="1248"/>
        </w:tabs>
        <w:spacing w:line="240" w:lineRule="auto"/>
        <w:ind w:left="1247" w:right="219"/>
        <w:rPr>
          <w:rFonts w:ascii="Symbol" w:hAnsi="Symbol"/>
          <w:color w:val="221F1F"/>
          <w:sz w:val="18"/>
        </w:rPr>
      </w:pPr>
      <w:r>
        <w:rPr>
          <w:color w:val="221F1F"/>
          <w:sz w:val="18"/>
        </w:rPr>
        <w:t>Section 95 provides that the transfer payment may only be made to an occupational scheme, personal pension schemes or annuity</w:t>
      </w:r>
      <w:r>
        <w:rPr>
          <w:color w:val="221F1F"/>
          <w:spacing w:val="-3"/>
          <w:sz w:val="18"/>
        </w:rPr>
        <w:t xml:space="preserve"> </w:t>
      </w:r>
      <w:r>
        <w:rPr>
          <w:color w:val="221F1F"/>
          <w:sz w:val="18"/>
        </w:rPr>
        <w:t>contract.</w:t>
      </w:r>
    </w:p>
    <w:p w14:paraId="023068F2" w14:textId="77777777" w:rsidR="00CC16C9" w:rsidRDefault="00BA78DA">
      <w:pPr>
        <w:pStyle w:val="ListParagraph"/>
        <w:numPr>
          <w:ilvl w:val="1"/>
          <w:numId w:val="1"/>
        </w:numPr>
        <w:tabs>
          <w:tab w:val="left" w:pos="1247"/>
          <w:tab w:val="left" w:pos="1248"/>
        </w:tabs>
        <w:ind w:left="1247" w:hanging="361"/>
        <w:rPr>
          <w:rFonts w:ascii="Symbol" w:hAnsi="Symbol"/>
          <w:color w:val="221F1F"/>
          <w:sz w:val="18"/>
        </w:rPr>
      </w:pPr>
      <w:r>
        <w:rPr>
          <w:color w:val="221F1F"/>
          <w:sz w:val="18"/>
        </w:rPr>
        <w:t xml:space="preserve">Additionally, under section 169 of the Finance Act 2004 a transfer will only be an </w:t>
      </w:r>
      <w:proofErr w:type="spellStart"/>
      <w:r>
        <w:rPr>
          <w:color w:val="221F1F"/>
          <w:sz w:val="18"/>
        </w:rPr>
        <w:t>authorised</w:t>
      </w:r>
      <w:proofErr w:type="spellEnd"/>
      <w:r>
        <w:rPr>
          <w:color w:val="221F1F"/>
          <w:sz w:val="18"/>
        </w:rPr>
        <w:t xml:space="preserve"> payment</w:t>
      </w:r>
      <w:r>
        <w:rPr>
          <w:color w:val="221F1F"/>
          <w:spacing w:val="-25"/>
          <w:sz w:val="18"/>
        </w:rPr>
        <w:t xml:space="preserve"> </w:t>
      </w:r>
      <w:r>
        <w:rPr>
          <w:color w:val="221F1F"/>
          <w:sz w:val="18"/>
        </w:rPr>
        <w:t>if</w:t>
      </w:r>
    </w:p>
    <w:p w14:paraId="1636B414" w14:textId="77777777" w:rsidR="00CC16C9" w:rsidRDefault="00BA78DA">
      <w:pPr>
        <w:pStyle w:val="BodyText"/>
        <w:spacing w:before="1" w:line="219" w:lineRule="exact"/>
        <w:ind w:left="1247"/>
      </w:pPr>
      <w:r>
        <w:rPr>
          <w:color w:val="221F1F"/>
        </w:rPr>
        <w:t>it is a ‘</w:t>
      </w:r>
      <w:proofErr w:type="spellStart"/>
      <w:r>
        <w:rPr>
          <w:color w:val="221F1F"/>
        </w:rPr>
        <w:t>recognised</w:t>
      </w:r>
      <w:proofErr w:type="spellEnd"/>
      <w:r>
        <w:rPr>
          <w:color w:val="221F1F"/>
        </w:rPr>
        <w:t xml:space="preserve"> transfer’.</w:t>
      </w:r>
    </w:p>
    <w:p w14:paraId="4BA72488" w14:textId="00217A68" w:rsidR="00CC16C9" w:rsidRPr="00742B51" w:rsidRDefault="00BA78DA">
      <w:pPr>
        <w:pStyle w:val="ListParagraph"/>
        <w:numPr>
          <w:ilvl w:val="1"/>
          <w:numId w:val="1"/>
        </w:numPr>
        <w:tabs>
          <w:tab w:val="left" w:pos="1247"/>
          <w:tab w:val="left" w:pos="1248"/>
        </w:tabs>
        <w:spacing w:line="240" w:lineRule="auto"/>
        <w:ind w:left="1247" w:right="220"/>
        <w:rPr>
          <w:rFonts w:ascii="Symbol" w:hAnsi="Symbol"/>
          <w:color w:val="221F1F"/>
          <w:sz w:val="18"/>
        </w:rPr>
      </w:pPr>
      <w:r>
        <w:rPr>
          <w:color w:val="221F1F"/>
          <w:sz w:val="18"/>
        </w:rPr>
        <w:t>If</w:t>
      </w:r>
      <w:r>
        <w:rPr>
          <w:color w:val="221F1F"/>
          <w:spacing w:val="-2"/>
          <w:sz w:val="18"/>
        </w:rPr>
        <w:t xml:space="preserve"> </w:t>
      </w:r>
      <w:r>
        <w:rPr>
          <w:color w:val="221F1F"/>
          <w:sz w:val="18"/>
        </w:rPr>
        <w:t>relevant</w:t>
      </w:r>
      <w:r>
        <w:rPr>
          <w:color w:val="221F1F"/>
          <w:spacing w:val="-3"/>
          <w:sz w:val="18"/>
        </w:rPr>
        <w:t xml:space="preserve"> </w:t>
      </w:r>
      <w:r>
        <w:rPr>
          <w:color w:val="221F1F"/>
          <w:sz w:val="18"/>
        </w:rPr>
        <w:t>statutory</w:t>
      </w:r>
      <w:r>
        <w:rPr>
          <w:color w:val="221F1F"/>
          <w:spacing w:val="-1"/>
          <w:sz w:val="18"/>
        </w:rPr>
        <w:t xml:space="preserve"> </w:t>
      </w:r>
      <w:r>
        <w:rPr>
          <w:color w:val="221F1F"/>
          <w:sz w:val="18"/>
        </w:rPr>
        <w:t>requirements</w:t>
      </w:r>
      <w:r>
        <w:rPr>
          <w:color w:val="221F1F"/>
          <w:spacing w:val="-3"/>
          <w:sz w:val="18"/>
        </w:rPr>
        <w:t xml:space="preserve"> </w:t>
      </w:r>
      <w:r>
        <w:rPr>
          <w:color w:val="221F1F"/>
          <w:sz w:val="18"/>
        </w:rPr>
        <w:t>satisfied,</w:t>
      </w:r>
      <w:r>
        <w:rPr>
          <w:color w:val="221F1F"/>
          <w:spacing w:val="-2"/>
          <w:sz w:val="18"/>
        </w:rPr>
        <w:t xml:space="preserve"> </w:t>
      </w:r>
      <w:r>
        <w:rPr>
          <w:color w:val="221F1F"/>
          <w:sz w:val="18"/>
        </w:rPr>
        <w:t>right</w:t>
      </w:r>
      <w:r>
        <w:rPr>
          <w:color w:val="221F1F"/>
          <w:spacing w:val="-1"/>
          <w:sz w:val="18"/>
        </w:rPr>
        <w:t xml:space="preserve"> </w:t>
      </w:r>
      <w:r>
        <w:rPr>
          <w:color w:val="221F1F"/>
          <w:sz w:val="18"/>
        </w:rPr>
        <w:t>to</w:t>
      </w:r>
      <w:r>
        <w:rPr>
          <w:color w:val="221F1F"/>
          <w:spacing w:val="-2"/>
          <w:sz w:val="18"/>
        </w:rPr>
        <w:t xml:space="preserve"> </w:t>
      </w:r>
      <w:r>
        <w:rPr>
          <w:color w:val="221F1F"/>
          <w:sz w:val="18"/>
        </w:rPr>
        <w:t>take</w:t>
      </w:r>
      <w:r>
        <w:rPr>
          <w:color w:val="221F1F"/>
          <w:spacing w:val="-4"/>
          <w:sz w:val="18"/>
        </w:rPr>
        <w:t xml:space="preserve"> </w:t>
      </w:r>
      <w:r>
        <w:rPr>
          <w:color w:val="221F1F"/>
          <w:sz w:val="18"/>
        </w:rPr>
        <w:t>a</w:t>
      </w:r>
      <w:r>
        <w:rPr>
          <w:color w:val="221F1F"/>
          <w:spacing w:val="-2"/>
          <w:sz w:val="18"/>
        </w:rPr>
        <w:t xml:space="preserve"> </w:t>
      </w:r>
      <w:r>
        <w:rPr>
          <w:color w:val="221F1F"/>
          <w:sz w:val="18"/>
        </w:rPr>
        <w:t>CETV</w:t>
      </w:r>
      <w:r>
        <w:rPr>
          <w:color w:val="221F1F"/>
          <w:spacing w:val="-2"/>
          <w:sz w:val="18"/>
        </w:rPr>
        <w:t xml:space="preserve"> </w:t>
      </w:r>
      <w:r>
        <w:rPr>
          <w:color w:val="221F1F"/>
          <w:sz w:val="18"/>
        </w:rPr>
        <w:t>within</w:t>
      </w:r>
      <w:r>
        <w:rPr>
          <w:color w:val="221F1F"/>
          <w:spacing w:val="-3"/>
          <w:sz w:val="18"/>
        </w:rPr>
        <w:t xml:space="preserve"> </w:t>
      </w:r>
      <w:r>
        <w:rPr>
          <w:color w:val="221F1F"/>
          <w:sz w:val="18"/>
        </w:rPr>
        <w:t>the</w:t>
      </w:r>
      <w:r>
        <w:rPr>
          <w:color w:val="221F1F"/>
          <w:spacing w:val="-2"/>
          <w:sz w:val="18"/>
        </w:rPr>
        <w:t xml:space="preserve"> </w:t>
      </w:r>
      <w:r>
        <w:rPr>
          <w:color w:val="221F1F"/>
          <w:sz w:val="18"/>
        </w:rPr>
        <w:t>statutory</w:t>
      </w:r>
      <w:r>
        <w:rPr>
          <w:color w:val="221F1F"/>
          <w:spacing w:val="-2"/>
          <w:sz w:val="18"/>
        </w:rPr>
        <w:t xml:space="preserve"> </w:t>
      </w:r>
      <w:r>
        <w:rPr>
          <w:color w:val="221F1F"/>
          <w:sz w:val="18"/>
        </w:rPr>
        <w:t>timescale</w:t>
      </w:r>
      <w:r>
        <w:rPr>
          <w:color w:val="221F1F"/>
          <w:spacing w:val="-2"/>
          <w:sz w:val="18"/>
        </w:rPr>
        <w:t xml:space="preserve"> </w:t>
      </w:r>
      <w:r>
        <w:rPr>
          <w:color w:val="221F1F"/>
          <w:sz w:val="18"/>
        </w:rPr>
        <w:t>(can</w:t>
      </w:r>
      <w:r>
        <w:rPr>
          <w:color w:val="221F1F"/>
          <w:spacing w:val="-3"/>
          <w:sz w:val="18"/>
        </w:rPr>
        <w:t xml:space="preserve"> </w:t>
      </w:r>
      <w:r>
        <w:rPr>
          <w:color w:val="221F1F"/>
          <w:sz w:val="18"/>
        </w:rPr>
        <w:t>be extended in certain limited circumstances by the Pensions</w:t>
      </w:r>
      <w:r>
        <w:rPr>
          <w:color w:val="221F1F"/>
          <w:spacing w:val="-11"/>
          <w:sz w:val="18"/>
        </w:rPr>
        <w:t xml:space="preserve"> </w:t>
      </w:r>
      <w:r>
        <w:rPr>
          <w:color w:val="221F1F"/>
          <w:sz w:val="18"/>
        </w:rPr>
        <w:t>Regulator)</w:t>
      </w:r>
    </w:p>
    <w:p w14:paraId="1F618934" w14:textId="77777777" w:rsidR="00742B51" w:rsidRDefault="00742B51">
      <w:pPr>
        <w:pStyle w:val="ListParagraph"/>
        <w:numPr>
          <w:ilvl w:val="1"/>
          <w:numId w:val="1"/>
        </w:numPr>
        <w:tabs>
          <w:tab w:val="left" w:pos="1247"/>
          <w:tab w:val="left" w:pos="1248"/>
        </w:tabs>
        <w:spacing w:line="240" w:lineRule="auto"/>
        <w:ind w:left="1247" w:right="220"/>
        <w:rPr>
          <w:rFonts w:ascii="Symbol" w:hAnsi="Symbol"/>
          <w:color w:val="221F1F"/>
          <w:sz w:val="18"/>
        </w:rPr>
      </w:pPr>
    </w:p>
    <w:p w14:paraId="476430AE" w14:textId="7A786D9D" w:rsidR="00742B51" w:rsidRPr="00E60EE7" w:rsidRDefault="00BA78DA" w:rsidP="00E60EE7">
      <w:pPr>
        <w:pStyle w:val="ListParagraph"/>
        <w:tabs>
          <w:tab w:val="left" w:pos="1247"/>
          <w:tab w:val="left" w:pos="1248"/>
        </w:tabs>
        <w:spacing w:line="504" w:lineRule="auto"/>
        <w:ind w:left="1246" w:right="178" w:firstLine="0"/>
        <w:rPr>
          <w:sz w:val="18"/>
          <w:szCs w:val="18"/>
        </w:rPr>
      </w:pPr>
      <w:r w:rsidRPr="00742B51">
        <w:rPr>
          <w:color w:val="221F1F"/>
          <w:sz w:val="18"/>
        </w:rPr>
        <w:t xml:space="preserve">From 6 April 2015, </w:t>
      </w:r>
      <w:r w:rsidR="00742B51" w:rsidRPr="00742B51">
        <w:rPr>
          <w:color w:val="221F1F"/>
          <w:sz w:val="18"/>
        </w:rPr>
        <w:t>(section 48, Pension Schemes Act 2015</w:t>
      </w:r>
      <w:proofErr w:type="gramStart"/>
      <w:r w:rsidR="00742B51" w:rsidRPr="00742B51">
        <w:rPr>
          <w:color w:val="221F1F"/>
          <w:sz w:val="18"/>
        </w:rPr>
        <w:t>).</w:t>
      </w:r>
      <w:r w:rsidRPr="00742B51">
        <w:rPr>
          <w:color w:val="221F1F"/>
          <w:sz w:val="18"/>
        </w:rPr>
        <w:t>trustees</w:t>
      </w:r>
      <w:proofErr w:type="gramEnd"/>
      <w:r w:rsidRPr="00742B51">
        <w:rPr>
          <w:color w:val="221F1F"/>
          <w:sz w:val="18"/>
        </w:rPr>
        <w:t xml:space="preserve"> or providers cannot make a </w:t>
      </w:r>
      <w:r w:rsidR="00742B51">
        <w:rPr>
          <w:color w:val="221F1F"/>
          <w:sz w:val="18"/>
        </w:rPr>
        <w:t>tr</w:t>
      </w:r>
      <w:r w:rsidRPr="00742B51">
        <w:rPr>
          <w:color w:val="221F1F"/>
          <w:sz w:val="18"/>
        </w:rPr>
        <w:t>ansfer payment relating to DB benefits</w:t>
      </w:r>
      <w:r w:rsidRPr="00742B51">
        <w:rPr>
          <w:color w:val="221F1F"/>
          <w:spacing w:val="-18"/>
          <w:sz w:val="18"/>
        </w:rPr>
        <w:t xml:space="preserve"> </w:t>
      </w:r>
      <w:r w:rsidRPr="00742B51">
        <w:rPr>
          <w:color w:val="221F1F"/>
          <w:sz w:val="18"/>
        </w:rPr>
        <w:t>of</w:t>
      </w:r>
      <w:r w:rsidR="00742B51">
        <w:rPr>
          <w:color w:val="221F1F"/>
          <w:sz w:val="18"/>
        </w:rPr>
        <w:t xml:space="preserve"> </w:t>
      </w:r>
      <w:r w:rsidRPr="00E60EE7">
        <w:rPr>
          <w:color w:val="221F1F"/>
          <w:sz w:val="18"/>
          <w:szCs w:val="18"/>
        </w:rPr>
        <w:t>£30,000 or more to a DC arrangement unless the member has first taken independent financial advice.</w:t>
      </w:r>
    </w:p>
    <w:p w14:paraId="0BA0423C" w14:textId="06320130" w:rsidR="00CC16C9" w:rsidRPr="00E60EE7" w:rsidRDefault="00BA78DA" w:rsidP="00742B51">
      <w:pPr>
        <w:pStyle w:val="ListParagraph"/>
        <w:tabs>
          <w:tab w:val="left" w:pos="1247"/>
          <w:tab w:val="left" w:pos="1248"/>
        </w:tabs>
        <w:spacing w:line="504" w:lineRule="auto"/>
        <w:ind w:left="1246" w:right="178" w:firstLine="0"/>
        <w:rPr>
          <w:sz w:val="18"/>
          <w:szCs w:val="18"/>
        </w:rPr>
      </w:pPr>
      <w:r w:rsidRPr="00E60EE7">
        <w:rPr>
          <w:color w:val="221F1F"/>
          <w:sz w:val="18"/>
          <w:szCs w:val="18"/>
        </w:rPr>
        <w:t xml:space="preserve"> </w:t>
      </w:r>
      <w:r w:rsidRPr="00E60EE7">
        <w:rPr>
          <w:sz w:val="18"/>
          <w:szCs w:val="18"/>
        </w:rPr>
        <w:t>(Relevant section of the manual is Part 6 Chapter 2.2)</w:t>
      </w:r>
    </w:p>
    <w:p w14:paraId="1E19BF0E" w14:textId="77777777" w:rsidR="00CC16C9" w:rsidRDefault="00CC16C9">
      <w:pPr>
        <w:spacing w:line="504" w:lineRule="auto"/>
        <w:sectPr w:rsidR="00CC16C9">
          <w:headerReference w:type="default" r:id="rId7"/>
          <w:footerReference w:type="default" r:id="rId8"/>
          <w:type w:val="continuous"/>
          <w:pgSz w:w="11910" w:h="16840"/>
          <w:pgMar w:top="2200" w:right="1620" w:bottom="640" w:left="1340" w:header="167" w:footer="451" w:gutter="0"/>
          <w:cols w:space="720"/>
        </w:sectPr>
      </w:pPr>
    </w:p>
    <w:p w14:paraId="5CC34BF5" w14:textId="77777777" w:rsidR="00CC16C9" w:rsidRDefault="00CC16C9">
      <w:pPr>
        <w:pStyle w:val="BodyText"/>
        <w:rPr>
          <w:sz w:val="20"/>
        </w:rPr>
      </w:pPr>
    </w:p>
    <w:p w14:paraId="4B45E7F8" w14:textId="77777777" w:rsidR="00CC16C9" w:rsidRDefault="00CC16C9">
      <w:pPr>
        <w:pStyle w:val="BodyText"/>
        <w:spacing w:before="5"/>
      </w:pPr>
    </w:p>
    <w:p w14:paraId="53E0F97F" w14:textId="77777777" w:rsidR="00CC16C9" w:rsidRDefault="00BA78DA">
      <w:pPr>
        <w:pStyle w:val="Heading1"/>
        <w:numPr>
          <w:ilvl w:val="0"/>
          <w:numId w:val="1"/>
        </w:numPr>
        <w:tabs>
          <w:tab w:val="left" w:pos="460"/>
          <w:tab w:val="left" w:pos="461"/>
        </w:tabs>
        <w:spacing w:before="64"/>
        <w:ind w:hanging="361"/>
      </w:pPr>
      <w:r>
        <w:t>Describe the key governance requirements for trustees in the Occupational Pension Schemes (Charges</w:t>
      </w:r>
      <w:r>
        <w:rPr>
          <w:spacing w:val="-14"/>
        </w:rPr>
        <w:t xml:space="preserve"> </w:t>
      </w:r>
      <w:r>
        <w:t>and</w:t>
      </w:r>
    </w:p>
    <w:p w14:paraId="78D06642" w14:textId="77777777" w:rsidR="00CC16C9" w:rsidRDefault="00BA78DA">
      <w:pPr>
        <w:spacing w:before="35"/>
        <w:ind w:left="460"/>
        <w:rPr>
          <w:b/>
          <w:sz w:val="18"/>
        </w:rPr>
      </w:pPr>
      <w:r>
        <w:rPr>
          <w:b/>
          <w:sz w:val="18"/>
        </w:rPr>
        <w:t>Governance) Regulations 2015 and define “core financial transactions”.</w:t>
      </w:r>
    </w:p>
    <w:p w14:paraId="6DEFEC1B" w14:textId="77777777" w:rsidR="00CC16C9" w:rsidRDefault="00BA78DA">
      <w:pPr>
        <w:spacing w:before="32"/>
        <w:ind w:left="8021"/>
        <w:rPr>
          <w:b/>
          <w:sz w:val="18"/>
        </w:rPr>
      </w:pPr>
      <w:r>
        <w:rPr>
          <w:b/>
          <w:sz w:val="18"/>
        </w:rPr>
        <w:t>10 marks</w:t>
      </w:r>
    </w:p>
    <w:p w14:paraId="2841CB03" w14:textId="77777777" w:rsidR="00CC16C9" w:rsidRDefault="00BA78DA">
      <w:pPr>
        <w:pStyle w:val="BodyText"/>
        <w:spacing w:before="35"/>
        <w:ind w:left="568"/>
      </w:pPr>
      <w:r>
        <w:t>Answer should cover:</w:t>
      </w:r>
    </w:p>
    <w:p w14:paraId="7F15E7A9" w14:textId="77777777" w:rsidR="00CC16C9" w:rsidRDefault="00CC16C9">
      <w:pPr>
        <w:pStyle w:val="BodyText"/>
        <w:spacing w:before="9"/>
        <w:rPr>
          <w:sz w:val="12"/>
        </w:rPr>
      </w:pPr>
    </w:p>
    <w:p w14:paraId="066539BB" w14:textId="77777777" w:rsidR="00CC16C9" w:rsidRDefault="00BA78DA">
      <w:pPr>
        <w:pStyle w:val="BodyText"/>
        <w:spacing w:before="64" w:line="219" w:lineRule="exact"/>
        <w:ind w:left="527"/>
      </w:pPr>
      <w:r>
        <w:rPr>
          <w:color w:val="221F1F"/>
        </w:rPr>
        <w:t>The key governance requirements in the regulations for trustees will be:</w:t>
      </w:r>
    </w:p>
    <w:p w14:paraId="74646DCF" w14:textId="77777777" w:rsidR="00CC16C9" w:rsidRDefault="00BA78DA">
      <w:pPr>
        <w:pStyle w:val="ListParagraph"/>
        <w:numPr>
          <w:ilvl w:val="1"/>
          <w:numId w:val="1"/>
        </w:numPr>
        <w:tabs>
          <w:tab w:val="left" w:pos="1247"/>
          <w:tab w:val="left" w:pos="1248"/>
        </w:tabs>
        <w:ind w:left="1247" w:hanging="361"/>
        <w:rPr>
          <w:rFonts w:ascii="Symbol" w:hAnsi="Symbol"/>
          <w:color w:val="221F1F"/>
          <w:sz w:val="18"/>
        </w:rPr>
      </w:pPr>
      <w:r>
        <w:rPr>
          <w:color w:val="221F1F"/>
          <w:sz w:val="18"/>
        </w:rPr>
        <w:t>core financial transactions must be processed promptly and</w:t>
      </w:r>
      <w:r>
        <w:rPr>
          <w:color w:val="221F1F"/>
          <w:spacing w:val="-7"/>
          <w:sz w:val="18"/>
        </w:rPr>
        <w:t xml:space="preserve"> </w:t>
      </w:r>
      <w:proofErr w:type="gramStart"/>
      <w:r>
        <w:rPr>
          <w:color w:val="221F1F"/>
          <w:sz w:val="18"/>
        </w:rPr>
        <w:t>accurately;</w:t>
      </w:r>
      <w:proofErr w:type="gramEnd"/>
    </w:p>
    <w:p w14:paraId="4BD584DA" w14:textId="77777777" w:rsidR="00CC16C9" w:rsidRDefault="00BA78DA">
      <w:pPr>
        <w:pStyle w:val="ListParagraph"/>
        <w:numPr>
          <w:ilvl w:val="1"/>
          <w:numId w:val="1"/>
        </w:numPr>
        <w:tabs>
          <w:tab w:val="left" w:pos="1247"/>
          <w:tab w:val="left" w:pos="1248"/>
        </w:tabs>
        <w:spacing w:before="1"/>
        <w:ind w:left="1247" w:hanging="361"/>
        <w:rPr>
          <w:rFonts w:ascii="Symbol" w:hAnsi="Symbol"/>
          <w:color w:val="221F1F"/>
          <w:sz w:val="18"/>
        </w:rPr>
      </w:pPr>
      <w:r>
        <w:rPr>
          <w:color w:val="221F1F"/>
          <w:sz w:val="18"/>
        </w:rPr>
        <w:t>the value of costs and charges borne by members must be</w:t>
      </w:r>
      <w:r>
        <w:rPr>
          <w:color w:val="221F1F"/>
          <w:spacing w:val="-11"/>
          <w:sz w:val="18"/>
        </w:rPr>
        <w:t xml:space="preserve"> </w:t>
      </w:r>
      <w:proofErr w:type="gramStart"/>
      <w:r>
        <w:rPr>
          <w:color w:val="221F1F"/>
          <w:sz w:val="18"/>
        </w:rPr>
        <w:t>assessed;</w:t>
      </w:r>
      <w:proofErr w:type="gramEnd"/>
    </w:p>
    <w:p w14:paraId="59567357" w14:textId="77777777" w:rsidR="00CC16C9" w:rsidRDefault="00BA78DA">
      <w:pPr>
        <w:pStyle w:val="ListParagraph"/>
        <w:numPr>
          <w:ilvl w:val="1"/>
          <w:numId w:val="1"/>
        </w:numPr>
        <w:tabs>
          <w:tab w:val="left" w:pos="1247"/>
          <w:tab w:val="left" w:pos="1248"/>
        </w:tabs>
        <w:spacing w:line="240" w:lineRule="auto"/>
        <w:ind w:left="1247" w:right="395"/>
        <w:rPr>
          <w:rFonts w:ascii="Symbol" w:hAnsi="Symbol"/>
          <w:color w:val="221F1F"/>
          <w:sz w:val="18"/>
        </w:rPr>
      </w:pPr>
      <w:r>
        <w:rPr>
          <w:color w:val="221F1F"/>
          <w:sz w:val="18"/>
        </w:rPr>
        <w:t>a statement of investment principles governing decisions about investments for the purposes of the default arrangement must be</w:t>
      </w:r>
      <w:r>
        <w:rPr>
          <w:color w:val="221F1F"/>
          <w:spacing w:val="-2"/>
          <w:sz w:val="18"/>
        </w:rPr>
        <w:t xml:space="preserve"> </w:t>
      </w:r>
      <w:proofErr w:type="gramStart"/>
      <w:r>
        <w:rPr>
          <w:color w:val="221F1F"/>
          <w:sz w:val="18"/>
        </w:rPr>
        <w:t>prepared;</w:t>
      </w:r>
      <w:proofErr w:type="gramEnd"/>
    </w:p>
    <w:p w14:paraId="6493A9C5" w14:textId="77777777" w:rsidR="00CC16C9" w:rsidRDefault="00BA78DA">
      <w:pPr>
        <w:pStyle w:val="ListParagraph"/>
        <w:numPr>
          <w:ilvl w:val="1"/>
          <w:numId w:val="1"/>
        </w:numPr>
        <w:tabs>
          <w:tab w:val="left" w:pos="1247"/>
          <w:tab w:val="left" w:pos="1248"/>
        </w:tabs>
        <w:spacing w:before="2"/>
        <w:ind w:left="1247" w:hanging="361"/>
        <w:rPr>
          <w:rFonts w:ascii="Symbol" w:hAnsi="Symbol"/>
          <w:color w:val="221F1F"/>
          <w:sz w:val="18"/>
        </w:rPr>
      </w:pPr>
      <w:r>
        <w:rPr>
          <w:color w:val="221F1F"/>
          <w:sz w:val="18"/>
        </w:rPr>
        <w:t>default arrangements must be designed in the members’ interests and kept under regular</w:t>
      </w:r>
      <w:r>
        <w:rPr>
          <w:color w:val="221F1F"/>
          <w:spacing w:val="-17"/>
          <w:sz w:val="18"/>
        </w:rPr>
        <w:t xml:space="preserve"> </w:t>
      </w:r>
      <w:proofErr w:type="gramStart"/>
      <w:r>
        <w:rPr>
          <w:color w:val="221F1F"/>
          <w:sz w:val="18"/>
        </w:rPr>
        <w:t>review;</w:t>
      </w:r>
      <w:proofErr w:type="gramEnd"/>
    </w:p>
    <w:p w14:paraId="0FE4CA41" w14:textId="77777777" w:rsidR="00CC16C9" w:rsidRDefault="00BA78DA">
      <w:pPr>
        <w:pStyle w:val="ListParagraph"/>
        <w:numPr>
          <w:ilvl w:val="1"/>
          <w:numId w:val="1"/>
        </w:numPr>
        <w:tabs>
          <w:tab w:val="left" w:pos="1247"/>
          <w:tab w:val="left" w:pos="1248"/>
        </w:tabs>
        <w:spacing w:line="240" w:lineRule="auto"/>
        <w:ind w:left="1247" w:right="148"/>
        <w:rPr>
          <w:rFonts w:ascii="Symbol" w:hAnsi="Symbol"/>
          <w:color w:val="221F1F"/>
          <w:sz w:val="18"/>
        </w:rPr>
      </w:pPr>
      <w:r>
        <w:rPr>
          <w:color w:val="221F1F"/>
          <w:sz w:val="18"/>
        </w:rPr>
        <w:t>the scheme deed and rules must not restrict the choice of administrators, fund managers or advisers to the scheme;</w:t>
      </w:r>
      <w:r>
        <w:rPr>
          <w:color w:val="221F1F"/>
          <w:spacing w:val="-2"/>
          <w:sz w:val="18"/>
        </w:rPr>
        <w:t xml:space="preserve"> </w:t>
      </w:r>
      <w:r>
        <w:rPr>
          <w:color w:val="221F1F"/>
          <w:sz w:val="18"/>
        </w:rPr>
        <w:t>and</w:t>
      </w:r>
    </w:p>
    <w:p w14:paraId="572FD15D" w14:textId="77777777" w:rsidR="00CC16C9" w:rsidRDefault="00BA78DA">
      <w:pPr>
        <w:pStyle w:val="ListParagraph"/>
        <w:numPr>
          <w:ilvl w:val="1"/>
          <w:numId w:val="1"/>
        </w:numPr>
        <w:tabs>
          <w:tab w:val="left" w:pos="1247"/>
          <w:tab w:val="left" w:pos="1248"/>
        </w:tabs>
        <w:spacing w:line="240" w:lineRule="auto"/>
        <w:ind w:left="1247" w:right="149"/>
        <w:rPr>
          <w:rFonts w:ascii="Symbol" w:hAnsi="Symbol"/>
          <w:color w:val="221F1F"/>
          <w:sz w:val="18"/>
        </w:rPr>
      </w:pPr>
      <w:r>
        <w:rPr>
          <w:color w:val="221F1F"/>
          <w:sz w:val="18"/>
        </w:rPr>
        <w:t>a chair of trustees (the Chair) must be appointed with responsibility for signing off an annual statement describing how the governance requirements have been</w:t>
      </w:r>
      <w:r>
        <w:rPr>
          <w:color w:val="221F1F"/>
          <w:spacing w:val="-5"/>
          <w:sz w:val="18"/>
        </w:rPr>
        <w:t xml:space="preserve"> </w:t>
      </w:r>
      <w:r>
        <w:rPr>
          <w:color w:val="221F1F"/>
          <w:sz w:val="18"/>
        </w:rPr>
        <w:t>met.</w:t>
      </w:r>
    </w:p>
    <w:p w14:paraId="607FCE00" w14:textId="77777777" w:rsidR="00CC16C9" w:rsidRDefault="00CC16C9">
      <w:pPr>
        <w:pStyle w:val="BodyText"/>
      </w:pPr>
    </w:p>
    <w:p w14:paraId="220EC173" w14:textId="77777777" w:rsidR="00CC16C9" w:rsidRDefault="00BA78DA">
      <w:pPr>
        <w:pStyle w:val="BodyText"/>
        <w:spacing w:line="219" w:lineRule="exact"/>
        <w:ind w:left="527"/>
      </w:pPr>
      <w:r>
        <w:rPr>
          <w:color w:val="221F1F"/>
        </w:rPr>
        <w:t>Core financial transactions are defined as including, but not being limited to:</w:t>
      </w:r>
    </w:p>
    <w:p w14:paraId="2B201E63" w14:textId="77777777" w:rsidR="00CC16C9" w:rsidRDefault="00BA78DA">
      <w:pPr>
        <w:pStyle w:val="ListParagraph"/>
        <w:numPr>
          <w:ilvl w:val="1"/>
          <w:numId w:val="1"/>
        </w:numPr>
        <w:tabs>
          <w:tab w:val="left" w:pos="1247"/>
          <w:tab w:val="left" w:pos="1248"/>
        </w:tabs>
        <w:ind w:left="1247" w:hanging="361"/>
        <w:rPr>
          <w:rFonts w:ascii="Symbol" w:hAnsi="Symbol"/>
          <w:color w:val="221F1F"/>
          <w:sz w:val="18"/>
        </w:rPr>
      </w:pPr>
      <w:r>
        <w:rPr>
          <w:color w:val="221F1F"/>
          <w:sz w:val="18"/>
        </w:rPr>
        <w:t>investment of contributions to the</w:t>
      </w:r>
      <w:r>
        <w:rPr>
          <w:color w:val="221F1F"/>
          <w:spacing w:val="-4"/>
          <w:sz w:val="18"/>
        </w:rPr>
        <w:t xml:space="preserve"> </w:t>
      </w:r>
      <w:proofErr w:type="gramStart"/>
      <w:r>
        <w:rPr>
          <w:color w:val="221F1F"/>
          <w:sz w:val="18"/>
        </w:rPr>
        <w:t>scheme;</w:t>
      </w:r>
      <w:proofErr w:type="gramEnd"/>
    </w:p>
    <w:p w14:paraId="0A3A8BFE" w14:textId="77777777" w:rsidR="00CC16C9" w:rsidRDefault="00BA78DA">
      <w:pPr>
        <w:pStyle w:val="ListParagraph"/>
        <w:numPr>
          <w:ilvl w:val="1"/>
          <w:numId w:val="1"/>
        </w:numPr>
        <w:tabs>
          <w:tab w:val="left" w:pos="1247"/>
          <w:tab w:val="left" w:pos="1248"/>
        </w:tabs>
        <w:spacing w:before="1"/>
        <w:ind w:left="1247" w:hanging="361"/>
        <w:rPr>
          <w:rFonts w:ascii="Symbol" w:hAnsi="Symbol"/>
          <w:color w:val="221F1F"/>
          <w:sz w:val="18"/>
        </w:rPr>
      </w:pPr>
      <w:r>
        <w:rPr>
          <w:color w:val="221F1F"/>
          <w:sz w:val="18"/>
        </w:rPr>
        <w:t>transfers of assets into and out of the</w:t>
      </w:r>
      <w:r>
        <w:rPr>
          <w:color w:val="221F1F"/>
          <w:spacing w:val="-5"/>
          <w:sz w:val="18"/>
        </w:rPr>
        <w:t xml:space="preserve"> </w:t>
      </w:r>
      <w:proofErr w:type="gramStart"/>
      <w:r>
        <w:rPr>
          <w:color w:val="221F1F"/>
          <w:sz w:val="18"/>
        </w:rPr>
        <w:t>scheme;</w:t>
      </w:r>
      <w:proofErr w:type="gramEnd"/>
    </w:p>
    <w:p w14:paraId="03194274" w14:textId="77777777" w:rsidR="00CC16C9" w:rsidRDefault="00BA78DA">
      <w:pPr>
        <w:pStyle w:val="ListParagraph"/>
        <w:numPr>
          <w:ilvl w:val="1"/>
          <w:numId w:val="1"/>
        </w:numPr>
        <w:tabs>
          <w:tab w:val="left" w:pos="1247"/>
          <w:tab w:val="left" w:pos="1248"/>
        </w:tabs>
        <w:ind w:left="1247" w:hanging="361"/>
        <w:rPr>
          <w:rFonts w:ascii="Symbol" w:hAnsi="Symbol"/>
          <w:color w:val="221F1F"/>
          <w:sz w:val="18"/>
        </w:rPr>
      </w:pPr>
      <w:r>
        <w:rPr>
          <w:color w:val="221F1F"/>
          <w:sz w:val="18"/>
        </w:rPr>
        <w:t>transfers between different investments within the scheme;</w:t>
      </w:r>
      <w:r>
        <w:rPr>
          <w:color w:val="221F1F"/>
          <w:spacing w:val="-8"/>
          <w:sz w:val="18"/>
        </w:rPr>
        <w:t xml:space="preserve"> </w:t>
      </w:r>
      <w:r>
        <w:rPr>
          <w:color w:val="221F1F"/>
          <w:sz w:val="18"/>
        </w:rPr>
        <w:t>and</w:t>
      </w:r>
    </w:p>
    <w:p w14:paraId="36D38BC6" w14:textId="77777777" w:rsidR="00F43003" w:rsidRPr="00F43003" w:rsidRDefault="00BA78DA">
      <w:pPr>
        <w:pStyle w:val="ListParagraph"/>
        <w:numPr>
          <w:ilvl w:val="1"/>
          <w:numId w:val="1"/>
        </w:numPr>
        <w:tabs>
          <w:tab w:val="left" w:pos="1247"/>
          <w:tab w:val="left" w:pos="1248"/>
        </w:tabs>
        <w:spacing w:before="1" w:line="494" w:lineRule="auto"/>
        <w:ind w:left="527" w:right="3566" w:firstLine="359"/>
        <w:rPr>
          <w:rFonts w:ascii="Symbol" w:hAnsi="Symbol"/>
          <w:color w:val="221F1F"/>
          <w:sz w:val="18"/>
        </w:rPr>
      </w:pPr>
      <w:r>
        <w:rPr>
          <w:color w:val="221F1F"/>
          <w:sz w:val="18"/>
        </w:rPr>
        <w:t>payments from the scheme to or in respect of members.</w:t>
      </w:r>
      <w:r>
        <w:rPr>
          <w:sz w:val="18"/>
        </w:rPr>
        <w:t xml:space="preserve"> </w:t>
      </w:r>
      <w:r w:rsidR="00F43003" w:rsidRPr="00F43003">
        <w:rPr>
          <w:sz w:val="18"/>
        </w:rPr>
        <w:t>Some of the new governance requirements apply only to “default arrangements”. Broadly these are investment arrangements where the member does not have to express a choice for his contributions to be allocated to that fund. In addition, the arrangement must be used by the employer in relation to at least one worker as a qualifying scheme to discharge its automatic enrolment obligations. So, a fund could be considered a default arrangement even if it is not being used to meet automatic enrolment duties in relation to all members.</w:t>
      </w:r>
    </w:p>
    <w:p w14:paraId="18E05F8B" w14:textId="242D573C" w:rsidR="00CC16C9" w:rsidRPr="00E60EE7" w:rsidRDefault="00F43003" w:rsidP="00E60EE7">
      <w:pPr>
        <w:pStyle w:val="ListParagraph"/>
        <w:tabs>
          <w:tab w:val="left" w:pos="1247"/>
          <w:tab w:val="left" w:pos="1248"/>
        </w:tabs>
        <w:spacing w:before="1" w:line="494" w:lineRule="auto"/>
        <w:ind w:left="886" w:right="3566" w:firstLine="0"/>
        <w:rPr>
          <w:rFonts w:ascii="Symbol" w:hAnsi="Symbol"/>
          <w:color w:val="221F1F"/>
          <w:sz w:val="18"/>
        </w:rPr>
      </w:pPr>
      <w:r w:rsidRPr="00F43003">
        <w:rPr>
          <w:sz w:val="18"/>
        </w:rPr>
        <w:t xml:space="preserve"> </w:t>
      </w:r>
      <w:r w:rsidR="00BA78DA">
        <w:rPr>
          <w:spacing w:val="-6"/>
          <w:sz w:val="18"/>
        </w:rPr>
        <w:t>(Relevant</w:t>
      </w:r>
      <w:r w:rsidR="00BA78DA">
        <w:rPr>
          <w:spacing w:val="-13"/>
          <w:sz w:val="18"/>
        </w:rPr>
        <w:t xml:space="preserve"> </w:t>
      </w:r>
      <w:r w:rsidR="00BA78DA">
        <w:rPr>
          <w:spacing w:val="-6"/>
          <w:sz w:val="18"/>
        </w:rPr>
        <w:t>section</w:t>
      </w:r>
      <w:r w:rsidR="00BA78DA">
        <w:rPr>
          <w:spacing w:val="-16"/>
          <w:sz w:val="18"/>
        </w:rPr>
        <w:t xml:space="preserve"> </w:t>
      </w:r>
      <w:r w:rsidR="00BA78DA">
        <w:rPr>
          <w:sz w:val="18"/>
        </w:rPr>
        <w:t>of</w:t>
      </w:r>
      <w:r w:rsidR="00BA78DA">
        <w:rPr>
          <w:spacing w:val="-12"/>
          <w:sz w:val="18"/>
        </w:rPr>
        <w:t xml:space="preserve"> </w:t>
      </w:r>
      <w:r w:rsidR="00BA78DA">
        <w:rPr>
          <w:spacing w:val="-5"/>
          <w:sz w:val="18"/>
        </w:rPr>
        <w:t>the</w:t>
      </w:r>
      <w:r w:rsidR="00BA78DA">
        <w:rPr>
          <w:spacing w:val="-13"/>
          <w:sz w:val="18"/>
        </w:rPr>
        <w:t xml:space="preserve"> </w:t>
      </w:r>
      <w:r w:rsidR="00BA78DA">
        <w:rPr>
          <w:spacing w:val="-5"/>
          <w:sz w:val="18"/>
        </w:rPr>
        <w:t>manual</w:t>
      </w:r>
      <w:r w:rsidR="00BA78DA">
        <w:rPr>
          <w:spacing w:val="-13"/>
          <w:sz w:val="18"/>
        </w:rPr>
        <w:t xml:space="preserve"> </w:t>
      </w:r>
      <w:r w:rsidR="00BA78DA">
        <w:rPr>
          <w:spacing w:val="-3"/>
          <w:sz w:val="18"/>
        </w:rPr>
        <w:t>is</w:t>
      </w:r>
      <w:r w:rsidR="00BA78DA">
        <w:rPr>
          <w:spacing w:val="-15"/>
          <w:sz w:val="18"/>
        </w:rPr>
        <w:t xml:space="preserve"> </w:t>
      </w:r>
      <w:r w:rsidR="00BA78DA">
        <w:rPr>
          <w:spacing w:val="-5"/>
          <w:sz w:val="18"/>
        </w:rPr>
        <w:t>Part</w:t>
      </w:r>
      <w:r w:rsidR="00BA78DA">
        <w:rPr>
          <w:spacing w:val="-13"/>
          <w:sz w:val="18"/>
        </w:rPr>
        <w:t xml:space="preserve"> </w:t>
      </w:r>
      <w:r w:rsidR="00BA78DA">
        <w:rPr>
          <w:sz w:val="18"/>
        </w:rPr>
        <w:t>5</w:t>
      </w:r>
      <w:r w:rsidR="00BA78DA">
        <w:rPr>
          <w:spacing w:val="-12"/>
          <w:sz w:val="18"/>
        </w:rPr>
        <w:t xml:space="preserve"> </w:t>
      </w:r>
      <w:r w:rsidR="00BA78DA">
        <w:rPr>
          <w:spacing w:val="-6"/>
          <w:sz w:val="18"/>
        </w:rPr>
        <w:t>Chapter</w:t>
      </w:r>
      <w:r w:rsidR="00BA78DA">
        <w:rPr>
          <w:spacing w:val="-13"/>
          <w:sz w:val="18"/>
        </w:rPr>
        <w:t xml:space="preserve"> </w:t>
      </w:r>
      <w:r w:rsidR="00BA78DA">
        <w:rPr>
          <w:spacing w:val="-6"/>
          <w:sz w:val="18"/>
        </w:rPr>
        <w:t>1.1.5)</w:t>
      </w:r>
    </w:p>
    <w:p w14:paraId="72BE2844" w14:textId="77777777" w:rsidR="00CC16C9" w:rsidRDefault="00BA78DA">
      <w:pPr>
        <w:pStyle w:val="Heading1"/>
        <w:numPr>
          <w:ilvl w:val="0"/>
          <w:numId w:val="1"/>
        </w:numPr>
        <w:tabs>
          <w:tab w:val="left" w:pos="527"/>
          <w:tab w:val="left" w:pos="528"/>
        </w:tabs>
        <w:spacing w:line="276" w:lineRule="auto"/>
        <w:ind w:left="527" w:right="354" w:hanging="428"/>
      </w:pPr>
      <w:r>
        <w:t>List</w:t>
      </w:r>
      <w:r>
        <w:rPr>
          <w:spacing w:val="-2"/>
        </w:rPr>
        <w:t xml:space="preserve"> </w:t>
      </w:r>
      <w:r>
        <w:t>the</w:t>
      </w:r>
      <w:r>
        <w:rPr>
          <w:spacing w:val="-2"/>
        </w:rPr>
        <w:t xml:space="preserve"> </w:t>
      </w:r>
      <w:r>
        <w:t>ways</w:t>
      </w:r>
      <w:r>
        <w:rPr>
          <w:spacing w:val="-1"/>
        </w:rPr>
        <w:t xml:space="preserve"> </w:t>
      </w:r>
      <w:r>
        <w:t>in</w:t>
      </w:r>
      <w:r>
        <w:rPr>
          <w:spacing w:val="-3"/>
        </w:rPr>
        <w:t xml:space="preserve"> </w:t>
      </w:r>
      <w:r>
        <w:t>which</w:t>
      </w:r>
      <w:r>
        <w:rPr>
          <w:spacing w:val="-2"/>
        </w:rPr>
        <w:t xml:space="preserve"> </w:t>
      </w:r>
      <w:r>
        <w:t>a</w:t>
      </w:r>
      <w:r>
        <w:rPr>
          <w:spacing w:val="-2"/>
        </w:rPr>
        <w:t xml:space="preserve"> </w:t>
      </w:r>
      <w:r>
        <w:t>pension</w:t>
      </w:r>
      <w:r>
        <w:rPr>
          <w:spacing w:val="-1"/>
        </w:rPr>
        <w:t xml:space="preserve"> </w:t>
      </w:r>
      <w:r>
        <w:t>arrangement</w:t>
      </w:r>
      <w:r>
        <w:rPr>
          <w:spacing w:val="-1"/>
        </w:rPr>
        <w:t xml:space="preserve"> </w:t>
      </w:r>
      <w:r>
        <w:t>might</w:t>
      </w:r>
      <w:r>
        <w:rPr>
          <w:spacing w:val="-2"/>
        </w:rPr>
        <w:t xml:space="preserve"> </w:t>
      </w:r>
      <w:r>
        <w:t>be</w:t>
      </w:r>
      <w:r>
        <w:rPr>
          <w:spacing w:val="-2"/>
        </w:rPr>
        <w:t xml:space="preserve"> </w:t>
      </w:r>
      <w:r>
        <w:t>contracted</w:t>
      </w:r>
      <w:r>
        <w:rPr>
          <w:spacing w:val="-2"/>
        </w:rPr>
        <w:t xml:space="preserve"> </w:t>
      </w:r>
      <w:r>
        <w:t>out</w:t>
      </w:r>
      <w:r>
        <w:rPr>
          <w:spacing w:val="-2"/>
        </w:rPr>
        <w:t xml:space="preserve"> </w:t>
      </w:r>
      <w:r>
        <w:t>prior</w:t>
      </w:r>
      <w:r>
        <w:rPr>
          <w:spacing w:val="-1"/>
        </w:rPr>
        <w:t xml:space="preserve"> </w:t>
      </w:r>
      <w:r>
        <w:t>to</w:t>
      </w:r>
      <w:r>
        <w:rPr>
          <w:spacing w:val="-3"/>
        </w:rPr>
        <w:t xml:space="preserve"> </w:t>
      </w:r>
      <w:r>
        <w:t>6 April</w:t>
      </w:r>
      <w:r>
        <w:rPr>
          <w:spacing w:val="-3"/>
        </w:rPr>
        <w:t xml:space="preserve"> </w:t>
      </w:r>
      <w:r>
        <w:t>2012</w:t>
      </w:r>
      <w:r>
        <w:rPr>
          <w:spacing w:val="-2"/>
        </w:rPr>
        <w:t xml:space="preserve"> </w:t>
      </w:r>
      <w:r>
        <w:t>and</w:t>
      </w:r>
      <w:r>
        <w:rPr>
          <w:spacing w:val="-2"/>
        </w:rPr>
        <w:t xml:space="preserve"> </w:t>
      </w:r>
      <w:r>
        <w:t>outline</w:t>
      </w:r>
      <w:r>
        <w:rPr>
          <w:spacing w:val="-2"/>
        </w:rPr>
        <w:t xml:space="preserve"> </w:t>
      </w:r>
      <w:r>
        <w:t>how this changed in April 2012 and in</w:t>
      </w:r>
      <w:r>
        <w:rPr>
          <w:spacing w:val="-3"/>
        </w:rPr>
        <w:t xml:space="preserve"> </w:t>
      </w:r>
      <w:r>
        <w:t>2016.</w:t>
      </w:r>
    </w:p>
    <w:p w14:paraId="041BB191" w14:textId="77777777" w:rsidR="00CC16C9" w:rsidRDefault="00BA78DA">
      <w:pPr>
        <w:spacing w:line="219" w:lineRule="exact"/>
        <w:ind w:left="8021"/>
        <w:rPr>
          <w:b/>
          <w:sz w:val="18"/>
        </w:rPr>
      </w:pPr>
      <w:r>
        <w:rPr>
          <w:b/>
          <w:sz w:val="18"/>
        </w:rPr>
        <w:t>5 marks</w:t>
      </w:r>
    </w:p>
    <w:p w14:paraId="3577BAB4" w14:textId="77777777" w:rsidR="00CC16C9" w:rsidRDefault="00BA78DA">
      <w:pPr>
        <w:pStyle w:val="BodyText"/>
        <w:spacing w:before="34"/>
        <w:ind w:left="527"/>
      </w:pPr>
      <w:r>
        <w:t>Answer should cover:</w:t>
      </w:r>
    </w:p>
    <w:p w14:paraId="4D42599E" w14:textId="77777777" w:rsidR="00CC16C9" w:rsidRDefault="00CC16C9">
      <w:pPr>
        <w:pStyle w:val="BodyText"/>
        <w:spacing w:before="9"/>
        <w:rPr>
          <w:sz w:val="20"/>
        </w:rPr>
      </w:pPr>
    </w:p>
    <w:p w14:paraId="0574CE28" w14:textId="77777777" w:rsidR="00CC16C9" w:rsidRDefault="00BA78DA">
      <w:pPr>
        <w:pStyle w:val="BodyText"/>
        <w:spacing w:line="219" w:lineRule="exact"/>
        <w:ind w:left="527"/>
      </w:pPr>
      <w:r>
        <w:rPr>
          <w:color w:val="221F1F"/>
        </w:rPr>
        <w:t>Prior to 6 April 2012, there were four ways in which a pension arrangement might be contracted out:</w:t>
      </w:r>
    </w:p>
    <w:p w14:paraId="6D157A25" w14:textId="77777777" w:rsidR="00CC16C9" w:rsidRDefault="00BA78DA">
      <w:pPr>
        <w:pStyle w:val="ListParagraph"/>
        <w:numPr>
          <w:ilvl w:val="1"/>
          <w:numId w:val="1"/>
        </w:numPr>
        <w:tabs>
          <w:tab w:val="left" w:pos="1247"/>
          <w:tab w:val="left" w:pos="1248"/>
        </w:tabs>
        <w:ind w:left="1247" w:hanging="361"/>
        <w:rPr>
          <w:rFonts w:ascii="Symbol" w:hAnsi="Symbol"/>
          <w:color w:val="221F1F"/>
          <w:sz w:val="18"/>
        </w:rPr>
      </w:pPr>
      <w:r>
        <w:rPr>
          <w:color w:val="221F1F"/>
          <w:sz w:val="18"/>
        </w:rPr>
        <w:t>Contracted out Salary Related (COSR)</w:t>
      </w:r>
      <w:r>
        <w:rPr>
          <w:color w:val="221F1F"/>
          <w:spacing w:val="-3"/>
          <w:sz w:val="18"/>
        </w:rPr>
        <w:t xml:space="preserve"> </w:t>
      </w:r>
      <w:proofErr w:type="gramStart"/>
      <w:r>
        <w:rPr>
          <w:color w:val="221F1F"/>
          <w:sz w:val="18"/>
        </w:rPr>
        <w:t>Scheme;</w:t>
      </w:r>
      <w:proofErr w:type="gramEnd"/>
    </w:p>
    <w:p w14:paraId="6BFBBE52" w14:textId="77777777" w:rsidR="00CC16C9" w:rsidRDefault="00BA78DA">
      <w:pPr>
        <w:pStyle w:val="ListParagraph"/>
        <w:numPr>
          <w:ilvl w:val="1"/>
          <w:numId w:val="1"/>
        </w:numPr>
        <w:tabs>
          <w:tab w:val="left" w:pos="1247"/>
          <w:tab w:val="left" w:pos="1248"/>
        </w:tabs>
        <w:spacing w:before="1"/>
        <w:ind w:left="1247" w:hanging="361"/>
        <w:rPr>
          <w:rFonts w:ascii="Symbol" w:hAnsi="Symbol"/>
          <w:color w:val="221F1F"/>
          <w:sz w:val="18"/>
        </w:rPr>
      </w:pPr>
      <w:r>
        <w:rPr>
          <w:color w:val="221F1F"/>
          <w:sz w:val="18"/>
        </w:rPr>
        <w:t>Contracted -out Money Purchase (COMP)</w:t>
      </w:r>
      <w:r>
        <w:rPr>
          <w:color w:val="221F1F"/>
          <w:spacing w:val="-1"/>
          <w:sz w:val="18"/>
        </w:rPr>
        <w:t xml:space="preserve"> </w:t>
      </w:r>
      <w:proofErr w:type="gramStart"/>
      <w:r>
        <w:rPr>
          <w:color w:val="221F1F"/>
          <w:sz w:val="18"/>
        </w:rPr>
        <w:t>Scheme;</w:t>
      </w:r>
      <w:proofErr w:type="gramEnd"/>
    </w:p>
    <w:p w14:paraId="33C14ABF" w14:textId="77777777" w:rsidR="00CC16C9" w:rsidRDefault="00BA78DA">
      <w:pPr>
        <w:pStyle w:val="ListParagraph"/>
        <w:numPr>
          <w:ilvl w:val="1"/>
          <w:numId w:val="1"/>
        </w:numPr>
        <w:tabs>
          <w:tab w:val="left" w:pos="1247"/>
          <w:tab w:val="left" w:pos="1248"/>
        </w:tabs>
        <w:ind w:left="1247" w:hanging="361"/>
        <w:rPr>
          <w:rFonts w:ascii="Symbol" w:hAnsi="Symbol"/>
          <w:color w:val="221F1F"/>
          <w:sz w:val="18"/>
        </w:rPr>
      </w:pPr>
      <w:r>
        <w:rPr>
          <w:color w:val="221F1F"/>
          <w:sz w:val="18"/>
        </w:rPr>
        <w:t>Contracted out Mixed Benefit (COMB) Scheme;</w:t>
      </w:r>
      <w:r>
        <w:rPr>
          <w:color w:val="221F1F"/>
          <w:spacing w:val="-4"/>
          <w:sz w:val="18"/>
        </w:rPr>
        <w:t xml:space="preserve"> </w:t>
      </w:r>
      <w:r>
        <w:rPr>
          <w:color w:val="221F1F"/>
          <w:sz w:val="18"/>
        </w:rPr>
        <w:t>and</w:t>
      </w:r>
    </w:p>
    <w:p w14:paraId="195D5E13" w14:textId="77777777" w:rsidR="00CC16C9" w:rsidRDefault="00BA78DA">
      <w:pPr>
        <w:pStyle w:val="ListParagraph"/>
        <w:numPr>
          <w:ilvl w:val="1"/>
          <w:numId w:val="1"/>
        </w:numPr>
        <w:tabs>
          <w:tab w:val="left" w:pos="1247"/>
          <w:tab w:val="left" w:pos="1248"/>
        </w:tabs>
        <w:spacing w:before="1" w:line="240" w:lineRule="auto"/>
        <w:ind w:left="1247" w:hanging="361"/>
        <w:rPr>
          <w:rFonts w:ascii="Symbol" w:hAnsi="Symbol"/>
          <w:color w:val="221F1F"/>
          <w:sz w:val="18"/>
        </w:rPr>
      </w:pPr>
      <w:r>
        <w:rPr>
          <w:color w:val="221F1F"/>
          <w:sz w:val="18"/>
        </w:rPr>
        <w:t>Appropriate Personal Pension (APP) /</w:t>
      </w:r>
      <w:r>
        <w:rPr>
          <w:color w:val="221F1F"/>
          <w:spacing w:val="-5"/>
          <w:sz w:val="18"/>
        </w:rPr>
        <w:t xml:space="preserve"> </w:t>
      </w:r>
      <w:r>
        <w:rPr>
          <w:color w:val="221F1F"/>
          <w:sz w:val="18"/>
        </w:rPr>
        <w:t>Stakeholder.</w:t>
      </w:r>
    </w:p>
    <w:p w14:paraId="2DEECCD4" w14:textId="77777777" w:rsidR="00CC16C9" w:rsidRDefault="00CC16C9">
      <w:pPr>
        <w:pStyle w:val="BodyText"/>
        <w:spacing w:before="10"/>
        <w:rPr>
          <w:sz w:val="12"/>
        </w:rPr>
      </w:pPr>
    </w:p>
    <w:p w14:paraId="3D34B742" w14:textId="77777777" w:rsidR="00CC16C9" w:rsidRDefault="00BA78DA">
      <w:pPr>
        <w:pStyle w:val="BodyText"/>
        <w:spacing w:before="63"/>
        <w:ind w:left="527" w:right="141"/>
      </w:pPr>
      <w:r>
        <w:rPr>
          <w:color w:val="221F1F"/>
        </w:rPr>
        <w:t>From 6 April 2012 contracting out on a money purchase basis was abolished. From that date, the only contracted out schemes have been COSRs. In 2016 contracting out on a defined benefit basis (COSRs) ceased.</w:t>
      </w:r>
    </w:p>
    <w:p w14:paraId="2A673B71" w14:textId="77777777" w:rsidR="00CC16C9" w:rsidRDefault="00CC16C9">
      <w:pPr>
        <w:pStyle w:val="BodyText"/>
        <w:spacing w:before="11"/>
        <w:rPr>
          <w:sz w:val="19"/>
        </w:rPr>
      </w:pPr>
    </w:p>
    <w:p w14:paraId="624696C7" w14:textId="388E76C6" w:rsidR="00CC16C9" w:rsidRPr="00E60EE7" w:rsidRDefault="00BA78DA" w:rsidP="00E60EE7">
      <w:pPr>
        <w:pStyle w:val="BodyText"/>
        <w:ind w:left="527"/>
      </w:pPr>
      <w:r>
        <w:t>(Relevant section of the manual is Part 6 Chapter 1 Introduction)</w:t>
      </w:r>
    </w:p>
    <w:p w14:paraId="49133A3E" w14:textId="77777777" w:rsidR="00CC16C9" w:rsidRDefault="00CC16C9">
      <w:pPr>
        <w:pStyle w:val="BodyText"/>
        <w:spacing w:before="8"/>
        <w:rPr>
          <w:sz w:val="16"/>
        </w:rPr>
      </w:pPr>
    </w:p>
    <w:p w14:paraId="01AE3039" w14:textId="77777777" w:rsidR="00CC16C9" w:rsidRDefault="00CC16C9">
      <w:pPr>
        <w:rPr>
          <w:sz w:val="16"/>
        </w:rPr>
        <w:sectPr w:rsidR="00CC16C9">
          <w:pgSz w:w="11910" w:h="16840"/>
          <w:pgMar w:top="2200" w:right="1620" w:bottom="640" w:left="1340" w:header="167" w:footer="451" w:gutter="0"/>
          <w:cols w:space="720"/>
        </w:sectPr>
      </w:pPr>
    </w:p>
    <w:p w14:paraId="127CAA11" w14:textId="77777777" w:rsidR="00CC16C9" w:rsidRDefault="00BA78DA">
      <w:pPr>
        <w:pStyle w:val="Heading1"/>
        <w:numPr>
          <w:ilvl w:val="0"/>
          <w:numId w:val="1"/>
        </w:numPr>
        <w:tabs>
          <w:tab w:val="left" w:pos="527"/>
          <w:tab w:val="left" w:pos="528"/>
        </w:tabs>
        <w:spacing w:before="64"/>
        <w:ind w:left="527" w:hanging="428"/>
      </w:pPr>
      <w:r>
        <w:lastRenderedPageBreak/>
        <w:t>Provide some examples of the types of charges that might apply in a DC</w:t>
      </w:r>
      <w:r>
        <w:rPr>
          <w:spacing w:val="-19"/>
        </w:rPr>
        <w:t xml:space="preserve"> </w:t>
      </w:r>
      <w:r>
        <w:t>scheme.</w:t>
      </w:r>
    </w:p>
    <w:p w14:paraId="5394F9DC" w14:textId="77777777" w:rsidR="00CC16C9" w:rsidRDefault="00CC16C9">
      <w:pPr>
        <w:pStyle w:val="BodyText"/>
        <w:spacing w:before="6"/>
        <w:rPr>
          <w:b/>
          <w:sz w:val="23"/>
        </w:rPr>
      </w:pPr>
    </w:p>
    <w:p w14:paraId="154259CC" w14:textId="77777777" w:rsidR="00CC16C9" w:rsidRDefault="00BA78DA">
      <w:pPr>
        <w:pStyle w:val="BodyText"/>
        <w:ind w:left="141"/>
      </w:pPr>
      <w:r>
        <w:t>Answer should cover:</w:t>
      </w:r>
    </w:p>
    <w:p w14:paraId="2D7B97AA" w14:textId="77777777" w:rsidR="00CC16C9" w:rsidRDefault="00CC16C9">
      <w:pPr>
        <w:pStyle w:val="BodyText"/>
        <w:spacing w:before="9"/>
        <w:rPr>
          <w:sz w:val="20"/>
        </w:rPr>
      </w:pPr>
    </w:p>
    <w:p w14:paraId="79762334" w14:textId="711CC070" w:rsidR="00CC16C9" w:rsidRDefault="00BA78DA">
      <w:pPr>
        <w:pStyle w:val="ListParagraph"/>
        <w:numPr>
          <w:ilvl w:val="1"/>
          <w:numId w:val="1"/>
        </w:numPr>
        <w:tabs>
          <w:tab w:val="left" w:pos="1540"/>
          <w:tab w:val="left" w:pos="1541"/>
        </w:tabs>
        <w:ind w:left="1540" w:hanging="361"/>
        <w:rPr>
          <w:rFonts w:ascii="Symbol" w:hAnsi="Symbol"/>
          <w:sz w:val="18"/>
        </w:rPr>
      </w:pPr>
      <w:r>
        <w:rPr>
          <w:sz w:val="18"/>
        </w:rPr>
        <w:t>Annual Management</w:t>
      </w:r>
      <w:r>
        <w:rPr>
          <w:spacing w:val="-2"/>
          <w:sz w:val="18"/>
        </w:rPr>
        <w:t xml:space="preserve"> </w:t>
      </w:r>
      <w:r>
        <w:rPr>
          <w:sz w:val="18"/>
        </w:rPr>
        <w:t>Charge</w:t>
      </w:r>
      <w:r w:rsidR="00F43003">
        <w:rPr>
          <w:sz w:val="18"/>
        </w:rPr>
        <w:t xml:space="preserve">. </w:t>
      </w:r>
      <w:r w:rsidR="00F43003" w:rsidRPr="00F43003">
        <w:rPr>
          <w:sz w:val="18"/>
        </w:rPr>
        <w:t>Here, an amount is charged each year (often a proportion of a member’s fund). The AMC that applies in NEST is 0.3% per annum (with an additional 1.8% contribution charge).</w:t>
      </w:r>
    </w:p>
    <w:p w14:paraId="443188E9" w14:textId="2563B156" w:rsidR="00CC16C9" w:rsidRDefault="00BA78DA">
      <w:pPr>
        <w:pStyle w:val="ListParagraph"/>
        <w:numPr>
          <w:ilvl w:val="1"/>
          <w:numId w:val="1"/>
        </w:numPr>
        <w:tabs>
          <w:tab w:val="left" w:pos="1540"/>
          <w:tab w:val="left" w:pos="1541"/>
        </w:tabs>
        <w:ind w:left="1540" w:hanging="361"/>
        <w:rPr>
          <w:rFonts w:ascii="Symbol" w:hAnsi="Symbol"/>
          <w:sz w:val="18"/>
        </w:rPr>
      </w:pPr>
      <w:r>
        <w:rPr>
          <w:sz w:val="18"/>
        </w:rPr>
        <w:t>Fund Switches and Bid/Offer</w:t>
      </w:r>
      <w:r>
        <w:rPr>
          <w:spacing w:val="-4"/>
          <w:sz w:val="18"/>
        </w:rPr>
        <w:t xml:space="preserve"> </w:t>
      </w:r>
      <w:r>
        <w:rPr>
          <w:sz w:val="18"/>
        </w:rPr>
        <w:t>Spread</w:t>
      </w:r>
      <w:r w:rsidR="00F43003">
        <w:rPr>
          <w:sz w:val="18"/>
        </w:rPr>
        <w:t xml:space="preserve">. </w:t>
      </w:r>
      <w:r w:rsidR="00F43003" w:rsidRPr="00F43003">
        <w:rPr>
          <w:sz w:val="18"/>
        </w:rPr>
        <w:t>If a member wants to move their fund from one investment to another, there may be a fee for doing this. The fee would be either a fixed amount or a proportion of the member’s fund. However, the trustees/ provider may allow members a certain number of free switches a year</w:t>
      </w:r>
      <w:r w:rsidR="00F43003">
        <w:rPr>
          <w:sz w:val="18"/>
        </w:rPr>
        <w:t xml:space="preserve">. </w:t>
      </w:r>
      <w:r w:rsidR="00F43003" w:rsidRPr="00F43003">
        <w:rPr>
          <w:sz w:val="18"/>
        </w:rPr>
        <w:t xml:space="preserve">The bid/offer spread is an investment charge which usually applies when switching investments and reflects the difference between the buying and selling price of a unit in a unit linked investment. A unit linked investment is a fund split into smaller parts called units and contributions into the fund buy further units. The value of the units fluctuates in line with the underlying investments. A typical bid/offer spread is 5%. The buying and selling price </w:t>
      </w:r>
      <w:proofErr w:type="gramStart"/>
      <w:r w:rsidR="00F43003" w:rsidRPr="00F43003">
        <w:rPr>
          <w:sz w:val="18"/>
        </w:rPr>
        <w:t>is</w:t>
      </w:r>
      <w:proofErr w:type="gramEnd"/>
      <w:r w:rsidR="00F43003" w:rsidRPr="00F43003">
        <w:rPr>
          <w:sz w:val="18"/>
        </w:rPr>
        <w:t xml:space="preserve"> related to the value of assets in the fund.</w:t>
      </w:r>
    </w:p>
    <w:p w14:paraId="3B5E38C6" w14:textId="60D429A5" w:rsidR="00CC16C9" w:rsidRDefault="00BA78DA">
      <w:pPr>
        <w:pStyle w:val="ListParagraph"/>
        <w:numPr>
          <w:ilvl w:val="1"/>
          <w:numId w:val="1"/>
        </w:numPr>
        <w:tabs>
          <w:tab w:val="left" w:pos="1540"/>
          <w:tab w:val="left" w:pos="1541"/>
        </w:tabs>
        <w:spacing w:before="1"/>
        <w:ind w:left="1540" w:hanging="361"/>
        <w:rPr>
          <w:rFonts w:ascii="Symbol" w:hAnsi="Symbol"/>
          <w:sz w:val="18"/>
        </w:rPr>
      </w:pPr>
      <w:r>
        <w:rPr>
          <w:sz w:val="18"/>
        </w:rPr>
        <w:t>Policy</w:t>
      </w:r>
      <w:r>
        <w:rPr>
          <w:spacing w:val="-1"/>
          <w:sz w:val="18"/>
        </w:rPr>
        <w:t xml:space="preserve"> </w:t>
      </w:r>
      <w:r>
        <w:rPr>
          <w:sz w:val="18"/>
        </w:rPr>
        <w:t>fees</w:t>
      </w:r>
      <w:r w:rsidR="00F43003">
        <w:rPr>
          <w:sz w:val="18"/>
        </w:rPr>
        <w:t xml:space="preserve">. </w:t>
      </w:r>
      <w:r w:rsidR="00F43003" w:rsidRPr="00F43003">
        <w:rPr>
          <w:sz w:val="18"/>
        </w:rPr>
        <w:t>These cover the cost of administration and are usually included within the AMC (but may be separate for legacy policies).</w:t>
      </w:r>
    </w:p>
    <w:p w14:paraId="28B4CD83" w14:textId="4F2C3BC6" w:rsidR="00CC16C9" w:rsidRDefault="00BA78DA">
      <w:pPr>
        <w:pStyle w:val="ListParagraph"/>
        <w:numPr>
          <w:ilvl w:val="1"/>
          <w:numId w:val="1"/>
        </w:numPr>
        <w:tabs>
          <w:tab w:val="left" w:pos="1540"/>
          <w:tab w:val="left" w:pos="1541"/>
        </w:tabs>
        <w:ind w:left="1540" w:hanging="361"/>
        <w:rPr>
          <w:rFonts w:ascii="Symbol" w:hAnsi="Symbol"/>
          <w:sz w:val="18"/>
        </w:rPr>
      </w:pPr>
      <w:r>
        <w:rPr>
          <w:sz w:val="18"/>
        </w:rPr>
        <w:t>Allocation</w:t>
      </w:r>
      <w:r>
        <w:rPr>
          <w:spacing w:val="-2"/>
          <w:sz w:val="18"/>
        </w:rPr>
        <w:t xml:space="preserve"> </w:t>
      </w:r>
      <w:r>
        <w:rPr>
          <w:sz w:val="18"/>
        </w:rPr>
        <w:t>Rates</w:t>
      </w:r>
      <w:r w:rsidR="00F43003">
        <w:rPr>
          <w:sz w:val="18"/>
        </w:rPr>
        <w:t xml:space="preserve">. </w:t>
      </w:r>
      <w:r w:rsidR="00F43003" w:rsidRPr="00F43003">
        <w:rPr>
          <w:sz w:val="18"/>
        </w:rPr>
        <w:t>Under the terms of some pension policies (typically legacy ones), the provider may use less than 100% of a member’s fund to buy investment units and keep the rest. The proportion that is invested is called the Allocation Rate. Older policies tended to have a low allocation rate but, due to pressure to offer fairer terms, most providers have increased the amount they allocate to be closer to 100%</w:t>
      </w:r>
    </w:p>
    <w:p w14:paraId="3B3CDC4D" w14:textId="501B4FDC" w:rsidR="00CC16C9" w:rsidRDefault="00BA78DA">
      <w:pPr>
        <w:pStyle w:val="ListParagraph"/>
        <w:numPr>
          <w:ilvl w:val="1"/>
          <w:numId w:val="1"/>
        </w:numPr>
        <w:tabs>
          <w:tab w:val="left" w:pos="1540"/>
          <w:tab w:val="left" w:pos="1541"/>
        </w:tabs>
        <w:spacing w:before="1"/>
        <w:ind w:left="1540" w:hanging="361"/>
        <w:rPr>
          <w:rFonts w:ascii="Symbol" w:hAnsi="Symbol"/>
          <w:sz w:val="18"/>
        </w:rPr>
      </w:pPr>
      <w:r>
        <w:rPr>
          <w:sz w:val="18"/>
        </w:rPr>
        <w:t>Initial and Accumulation</w:t>
      </w:r>
      <w:r>
        <w:rPr>
          <w:spacing w:val="-4"/>
          <w:sz w:val="18"/>
        </w:rPr>
        <w:t xml:space="preserve"> </w:t>
      </w:r>
      <w:r>
        <w:rPr>
          <w:sz w:val="18"/>
        </w:rPr>
        <w:t>Units</w:t>
      </w:r>
      <w:r w:rsidR="00F43003">
        <w:rPr>
          <w:sz w:val="18"/>
        </w:rPr>
        <w:t xml:space="preserve">. </w:t>
      </w:r>
      <w:r w:rsidR="00F43003" w:rsidRPr="00F43003">
        <w:rPr>
          <w:sz w:val="18"/>
        </w:rPr>
        <w:t>Charges may be taken through using different types of units. Typically, in the first few years of a pension policy, contributions are invested in capital units, which have higher charges. Then, as per the terms and conditions of the policy, additional contributions are invested in accumulation units which have lower charges. At the end of a year, a provider may allocate additional accumulation units rather than pay a bonus reflecting the investment performance.</w:t>
      </w:r>
    </w:p>
    <w:p w14:paraId="28DC5B47" w14:textId="51734661" w:rsidR="00CC16C9" w:rsidRDefault="00BA78DA">
      <w:pPr>
        <w:pStyle w:val="ListParagraph"/>
        <w:numPr>
          <w:ilvl w:val="1"/>
          <w:numId w:val="1"/>
        </w:numPr>
        <w:tabs>
          <w:tab w:val="left" w:pos="1540"/>
          <w:tab w:val="left" w:pos="1541"/>
        </w:tabs>
        <w:ind w:left="1540" w:hanging="361"/>
        <w:rPr>
          <w:rFonts w:ascii="Symbol" w:hAnsi="Symbol"/>
          <w:sz w:val="18"/>
        </w:rPr>
      </w:pPr>
      <w:r>
        <w:rPr>
          <w:sz w:val="18"/>
        </w:rPr>
        <w:t>Charges on</w:t>
      </w:r>
      <w:r>
        <w:rPr>
          <w:spacing w:val="-3"/>
          <w:sz w:val="18"/>
        </w:rPr>
        <w:t xml:space="preserve"> </w:t>
      </w:r>
      <w:r>
        <w:rPr>
          <w:sz w:val="18"/>
        </w:rPr>
        <w:t>transfers</w:t>
      </w:r>
      <w:r w:rsidR="00573CA1">
        <w:rPr>
          <w:sz w:val="18"/>
        </w:rPr>
        <w:t xml:space="preserve">. </w:t>
      </w:r>
      <w:r w:rsidR="00F43003" w:rsidRPr="00F43003">
        <w:rPr>
          <w:sz w:val="18"/>
        </w:rPr>
        <w:t>There may be charges involved in transferring a pension fund between schemes/providers and the charges in the new scheme may be higher or lower than those in the existing scheme.</w:t>
      </w:r>
    </w:p>
    <w:p w14:paraId="28A67C73" w14:textId="77777777" w:rsidR="00CC16C9" w:rsidRDefault="00CC16C9">
      <w:pPr>
        <w:pStyle w:val="BodyText"/>
        <w:spacing w:before="11"/>
        <w:rPr>
          <w:sz w:val="21"/>
        </w:rPr>
      </w:pPr>
    </w:p>
    <w:p w14:paraId="41E139B0" w14:textId="01F82251" w:rsidR="00CC16C9" w:rsidRDefault="00BA78DA" w:rsidP="00E60EE7">
      <w:pPr>
        <w:pStyle w:val="BodyText"/>
        <w:spacing w:before="1"/>
        <w:ind w:left="527"/>
        <w:rPr>
          <w:sz w:val="25"/>
        </w:rPr>
      </w:pPr>
      <w:r>
        <w:t>(Relevant section of the manual is Part 5 Chapter 1.5.1)</w:t>
      </w:r>
      <w:r>
        <w:br w:type="column"/>
      </w:r>
    </w:p>
    <w:p w14:paraId="506C9540" w14:textId="4C6F4F2A" w:rsidR="00CC16C9" w:rsidRDefault="00BA78DA" w:rsidP="00E60EE7">
      <w:pPr>
        <w:pStyle w:val="Heading1"/>
        <w:spacing w:before="1"/>
        <w:ind w:left="100"/>
        <w:sectPr w:rsidR="00CC16C9">
          <w:type w:val="continuous"/>
          <w:pgSz w:w="11910" w:h="16840"/>
          <w:pgMar w:top="2200" w:right="1620" w:bottom="640" w:left="1340" w:header="720" w:footer="720" w:gutter="0"/>
          <w:cols w:num="2" w:space="720" w:equalWidth="0">
            <w:col w:w="6579" w:space="1342"/>
            <w:col w:w="1029"/>
          </w:cols>
        </w:sectPr>
      </w:pPr>
      <w:r>
        <w:t>10 marks</w:t>
      </w:r>
    </w:p>
    <w:p w14:paraId="45052293" w14:textId="77777777" w:rsidR="00CC16C9" w:rsidRDefault="00CC16C9">
      <w:pPr>
        <w:pStyle w:val="BodyText"/>
        <w:spacing w:before="2"/>
        <w:rPr>
          <w:b/>
        </w:rPr>
      </w:pPr>
    </w:p>
    <w:p w14:paraId="710C3758" w14:textId="77777777" w:rsidR="00CC16C9" w:rsidRDefault="00BA78DA">
      <w:pPr>
        <w:pStyle w:val="ListParagraph"/>
        <w:numPr>
          <w:ilvl w:val="0"/>
          <w:numId w:val="1"/>
        </w:numPr>
        <w:tabs>
          <w:tab w:val="left" w:pos="527"/>
          <w:tab w:val="left" w:pos="528"/>
        </w:tabs>
        <w:spacing w:line="278" w:lineRule="auto"/>
        <w:ind w:left="527" w:right="114" w:hanging="428"/>
        <w:rPr>
          <w:b/>
          <w:sz w:val="18"/>
        </w:rPr>
      </w:pPr>
      <w:r>
        <w:rPr>
          <w:b/>
          <w:sz w:val="18"/>
        </w:rPr>
        <w:t>Outline five areas of UK pension law which are currently subject to EU law and where UK law may diverge from EU regulations following the withdrawal of the United Kingdom from the European</w:t>
      </w:r>
      <w:r>
        <w:rPr>
          <w:b/>
          <w:spacing w:val="-13"/>
          <w:sz w:val="18"/>
        </w:rPr>
        <w:t xml:space="preserve"> </w:t>
      </w:r>
      <w:r>
        <w:rPr>
          <w:b/>
          <w:sz w:val="18"/>
        </w:rPr>
        <w:t>Union.</w:t>
      </w:r>
    </w:p>
    <w:p w14:paraId="7CB411EB" w14:textId="77777777" w:rsidR="00CC16C9" w:rsidRDefault="00BA78DA">
      <w:pPr>
        <w:spacing w:line="217" w:lineRule="exact"/>
        <w:ind w:left="8021"/>
        <w:rPr>
          <w:b/>
          <w:sz w:val="18"/>
        </w:rPr>
      </w:pPr>
      <w:r>
        <w:rPr>
          <w:b/>
          <w:sz w:val="18"/>
        </w:rPr>
        <w:t>10 marks</w:t>
      </w:r>
    </w:p>
    <w:p w14:paraId="23205464" w14:textId="77777777" w:rsidR="00CC16C9" w:rsidRDefault="00BA78DA">
      <w:pPr>
        <w:pStyle w:val="BodyText"/>
        <w:spacing w:before="34"/>
        <w:ind w:left="527"/>
      </w:pPr>
      <w:r>
        <w:t>Answer should cover:</w:t>
      </w:r>
    </w:p>
    <w:p w14:paraId="2A524916" w14:textId="77777777" w:rsidR="00CC16C9" w:rsidRDefault="00CC16C9">
      <w:pPr>
        <w:pStyle w:val="BodyText"/>
        <w:spacing w:before="10"/>
        <w:rPr>
          <w:sz w:val="12"/>
        </w:rPr>
      </w:pPr>
    </w:p>
    <w:p w14:paraId="31CA92C8" w14:textId="77777777" w:rsidR="00CC16C9" w:rsidRDefault="00BA78DA">
      <w:pPr>
        <w:pStyle w:val="BodyText"/>
        <w:spacing w:before="63"/>
        <w:ind w:left="527"/>
      </w:pPr>
      <w:r>
        <w:rPr>
          <w:color w:val="221F1F"/>
        </w:rPr>
        <w:t>Five of the following areas of UK pension law which are currently subject to EU law:</w:t>
      </w:r>
    </w:p>
    <w:p w14:paraId="436DC891" w14:textId="77777777" w:rsidR="00CC16C9" w:rsidRDefault="00CC16C9">
      <w:pPr>
        <w:pStyle w:val="BodyText"/>
      </w:pPr>
    </w:p>
    <w:p w14:paraId="65B42835" w14:textId="002AFFE2" w:rsidR="00CC16C9" w:rsidRDefault="00BA78DA">
      <w:pPr>
        <w:pStyle w:val="ListParagraph"/>
        <w:numPr>
          <w:ilvl w:val="1"/>
          <w:numId w:val="1"/>
        </w:numPr>
        <w:tabs>
          <w:tab w:val="left" w:pos="820"/>
          <w:tab w:val="left" w:pos="821"/>
        </w:tabs>
        <w:spacing w:line="240" w:lineRule="auto"/>
        <w:ind w:left="820" w:hanging="361"/>
        <w:rPr>
          <w:rFonts w:ascii="Symbol" w:hAnsi="Symbol"/>
          <w:color w:val="221F1F"/>
          <w:sz w:val="18"/>
        </w:rPr>
      </w:pPr>
      <w:r>
        <w:rPr>
          <w:b/>
          <w:color w:val="221F1F"/>
          <w:sz w:val="18"/>
        </w:rPr>
        <w:t xml:space="preserve">Scheme funding </w:t>
      </w:r>
      <w:r w:rsidR="00573CA1">
        <w:rPr>
          <w:color w:val="221F1F"/>
          <w:sz w:val="18"/>
        </w:rPr>
        <w:t>the</w:t>
      </w:r>
      <w:r>
        <w:rPr>
          <w:color w:val="221F1F"/>
          <w:sz w:val="18"/>
        </w:rPr>
        <w:t xml:space="preserve"> current technical provisions funding regime derives from the IORP</w:t>
      </w:r>
      <w:r>
        <w:rPr>
          <w:color w:val="221F1F"/>
          <w:spacing w:val="-14"/>
          <w:sz w:val="18"/>
        </w:rPr>
        <w:t xml:space="preserve"> </w:t>
      </w:r>
      <w:r>
        <w:rPr>
          <w:color w:val="221F1F"/>
          <w:sz w:val="18"/>
        </w:rPr>
        <w:t>Directive.</w:t>
      </w:r>
      <w:r w:rsidR="00573CA1" w:rsidRPr="00573CA1">
        <w:t xml:space="preserve"> </w:t>
      </w:r>
      <w:r w:rsidR="00573CA1" w:rsidRPr="00573CA1">
        <w:rPr>
          <w:color w:val="221F1F"/>
          <w:sz w:val="18"/>
        </w:rPr>
        <w:t>There is unlikely to be any major change in the short or medium term but there would be scope for relaxing some of the more technical detail in future if desired</w:t>
      </w:r>
      <w:r w:rsidR="00573CA1">
        <w:rPr>
          <w:color w:val="221F1F"/>
          <w:sz w:val="18"/>
        </w:rPr>
        <w:t>.</w:t>
      </w:r>
    </w:p>
    <w:p w14:paraId="4B7768AC" w14:textId="3BD871D1" w:rsidR="00CC16C9" w:rsidRDefault="00BA78DA">
      <w:pPr>
        <w:pStyle w:val="ListParagraph"/>
        <w:numPr>
          <w:ilvl w:val="1"/>
          <w:numId w:val="1"/>
        </w:numPr>
        <w:tabs>
          <w:tab w:val="left" w:pos="820"/>
          <w:tab w:val="left" w:pos="821"/>
        </w:tabs>
        <w:spacing w:before="1" w:line="240" w:lineRule="auto"/>
        <w:ind w:left="820" w:right="162"/>
        <w:rPr>
          <w:rFonts w:ascii="Symbol" w:hAnsi="Symbol"/>
          <w:color w:val="221F1F"/>
          <w:sz w:val="18"/>
        </w:rPr>
      </w:pPr>
      <w:r>
        <w:rPr>
          <w:b/>
          <w:color w:val="221F1F"/>
          <w:sz w:val="18"/>
        </w:rPr>
        <w:t xml:space="preserve">Investment </w:t>
      </w:r>
      <w:r>
        <w:rPr>
          <w:color w:val="221F1F"/>
          <w:sz w:val="18"/>
        </w:rPr>
        <w:t>Some of the investment requirements (including limits on employer-related investments and the requirement to diversify) derive from</w:t>
      </w:r>
      <w:r>
        <w:rPr>
          <w:color w:val="221F1F"/>
          <w:spacing w:val="-2"/>
          <w:sz w:val="18"/>
        </w:rPr>
        <w:t xml:space="preserve"> </w:t>
      </w:r>
      <w:r>
        <w:rPr>
          <w:color w:val="221F1F"/>
          <w:sz w:val="18"/>
        </w:rPr>
        <w:t>IORP</w:t>
      </w:r>
      <w:r w:rsidR="00573CA1" w:rsidRPr="00573CA1">
        <w:rPr>
          <w:color w:val="221F1F"/>
          <w:sz w:val="18"/>
        </w:rPr>
        <w:t>. There are unlikely to be major changes to the current requirements in the foreseeable future. Many of the rules governing the financial services industry more generally also derive from the EU - it is unlikely there will be major changes here as the UK industry will need to continue to comply to operate in the European market. Once the position is clearer, a review of specific investment documents may be advisable.</w:t>
      </w:r>
    </w:p>
    <w:p w14:paraId="3EF76C25" w14:textId="26EF628E" w:rsidR="00CC16C9" w:rsidRDefault="00BA78DA">
      <w:pPr>
        <w:pStyle w:val="ListParagraph"/>
        <w:numPr>
          <w:ilvl w:val="1"/>
          <w:numId w:val="1"/>
        </w:numPr>
        <w:tabs>
          <w:tab w:val="left" w:pos="820"/>
          <w:tab w:val="left" w:pos="821"/>
        </w:tabs>
        <w:ind w:left="820" w:hanging="361"/>
        <w:rPr>
          <w:rFonts w:ascii="Symbol" w:hAnsi="Symbol"/>
          <w:color w:val="221F1F"/>
          <w:sz w:val="18"/>
        </w:rPr>
      </w:pPr>
      <w:r>
        <w:rPr>
          <w:b/>
          <w:color w:val="221F1F"/>
          <w:sz w:val="18"/>
        </w:rPr>
        <w:t xml:space="preserve">GMP </w:t>
      </w:r>
      <w:proofErr w:type="spellStart"/>
      <w:r>
        <w:rPr>
          <w:b/>
          <w:color w:val="221F1F"/>
          <w:sz w:val="18"/>
        </w:rPr>
        <w:t>equalisation</w:t>
      </w:r>
      <w:proofErr w:type="spellEnd"/>
      <w:r>
        <w:rPr>
          <w:b/>
          <w:color w:val="221F1F"/>
          <w:sz w:val="18"/>
        </w:rPr>
        <w:t xml:space="preserve"> </w:t>
      </w:r>
      <w:r>
        <w:rPr>
          <w:color w:val="221F1F"/>
          <w:sz w:val="18"/>
        </w:rPr>
        <w:t>The Government position that GMPs must be equalised is based on EU</w:t>
      </w:r>
      <w:r>
        <w:rPr>
          <w:color w:val="221F1F"/>
          <w:spacing w:val="-16"/>
          <w:sz w:val="18"/>
        </w:rPr>
        <w:t xml:space="preserve"> </w:t>
      </w:r>
      <w:r>
        <w:rPr>
          <w:color w:val="221F1F"/>
          <w:sz w:val="18"/>
        </w:rPr>
        <w:t>law</w:t>
      </w:r>
      <w:r w:rsidR="00573CA1" w:rsidRPr="00573CA1">
        <w:rPr>
          <w:color w:val="221F1F"/>
          <w:sz w:val="18"/>
        </w:rPr>
        <w:t>. It may therefore be that this issue could disappear.</w:t>
      </w:r>
    </w:p>
    <w:p w14:paraId="34FCA33B" w14:textId="068498D7" w:rsidR="00CC16C9" w:rsidRDefault="00BA78DA">
      <w:pPr>
        <w:pStyle w:val="ListParagraph"/>
        <w:numPr>
          <w:ilvl w:val="1"/>
          <w:numId w:val="1"/>
        </w:numPr>
        <w:tabs>
          <w:tab w:val="left" w:pos="820"/>
          <w:tab w:val="left" w:pos="821"/>
        </w:tabs>
        <w:ind w:left="820" w:hanging="361"/>
        <w:rPr>
          <w:rFonts w:ascii="Symbol" w:hAnsi="Symbol"/>
          <w:color w:val="221F1F"/>
          <w:sz w:val="18"/>
        </w:rPr>
      </w:pPr>
      <w:r>
        <w:rPr>
          <w:b/>
          <w:color w:val="221F1F"/>
          <w:sz w:val="18"/>
        </w:rPr>
        <w:t xml:space="preserve">Equal treatment </w:t>
      </w:r>
      <w:r>
        <w:rPr>
          <w:color w:val="221F1F"/>
          <w:sz w:val="18"/>
        </w:rPr>
        <w:t>There are unlikely to be major changes here on policy</w:t>
      </w:r>
      <w:r>
        <w:rPr>
          <w:color w:val="221F1F"/>
          <w:spacing w:val="-9"/>
          <w:sz w:val="18"/>
        </w:rPr>
        <w:t xml:space="preserve"> </w:t>
      </w:r>
      <w:r>
        <w:rPr>
          <w:color w:val="221F1F"/>
          <w:sz w:val="18"/>
        </w:rPr>
        <w:t>grounds.</w:t>
      </w:r>
      <w:r w:rsidR="00573CA1" w:rsidRPr="00573CA1">
        <w:t xml:space="preserve"> </w:t>
      </w:r>
      <w:r w:rsidR="00573CA1" w:rsidRPr="00573CA1">
        <w:rPr>
          <w:color w:val="221F1F"/>
          <w:sz w:val="18"/>
        </w:rPr>
        <w:t>There may be an opportunity to relax some of the age discrimination provisions to allow pension schemes to operate with more certainty and not have to rely on justification arguments</w:t>
      </w:r>
      <w:r w:rsidR="00573CA1">
        <w:rPr>
          <w:color w:val="221F1F"/>
          <w:sz w:val="18"/>
        </w:rPr>
        <w:t>.</w:t>
      </w:r>
    </w:p>
    <w:p w14:paraId="5B0ED577" w14:textId="77777777" w:rsidR="00CC16C9" w:rsidRDefault="00BA78DA">
      <w:pPr>
        <w:pStyle w:val="ListParagraph"/>
        <w:numPr>
          <w:ilvl w:val="1"/>
          <w:numId w:val="1"/>
        </w:numPr>
        <w:tabs>
          <w:tab w:val="left" w:pos="820"/>
          <w:tab w:val="left" w:pos="821"/>
        </w:tabs>
        <w:spacing w:before="1" w:line="240" w:lineRule="auto"/>
        <w:ind w:left="820" w:right="139"/>
        <w:rPr>
          <w:rFonts w:ascii="Symbol" w:hAnsi="Symbol"/>
          <w:color w:val="221F1F"/>
          <w:sz w:val="18"/>
        </w:rPr>
      </w:pPr>
      <w:r>
        <w:rPr>
          <w:b/>
          <w:color w:val="221F1F"/>
          <w:sz w:val="18"/>
        </w:rPr>
        <w:t xml:space="preserve">TUPE transfers </w:t>
      </w:r>
      <w:r>
        <w:rPr>
          <w:color w:val="221F1F"/>
          <w:sz w:val="18"/>
        </w:rPr>
        <w:t>There will be scope for the Government to amend or relax the TUPE requirements and to give more clarity on early retirement (Beckmann)</w:t>
      </w:r>
      <w:r>
        <w:rPr>
          <w:color w:val="221F1F"/>
          <w:spacing w:val="-4"/>
          <w:sz w:val="18"/>
        </w:rPr>
        <w:t xml:space="preserve"> </w:t>
      </w:r>
      <w:r>
        <w:rPr>
          <w:color w:val="221F1F"/>
          <w:sz w:val="18"/>
        </w:rPr>
        <w:t>issues.</w:t>
      </w:r>
    </w:p>
    <w:p w14:paraId="6320178F" w14:textId="467D9BBD" w:rsidR="00CC16C9" w:rsidRDefault="00BA78DA">
      <w:pPr>
        <w:pStyle w:val="ListParagraph"/>
        <w:numPr>
          <w:ilvl w:val="1"/>
          <w:numId w:val="1"/>
        </w:numPr>
        <w:tabs>
          <w:tab w:val="left" w:pos="820"/>
          <w:tab w:val="left" w:pos="821"/>
        </w:tabs>
        <w:spacing w:line="228" w:lineRule="exact"/>
        <w:ind w:left="820" w:hanging="361"/>
        <w:rPr>
          <w:rFonts w:ascii="Symbol" w:hAnsi="Symbol"/>
          <w:color w:val="221F1F"/>
          <w:sz w:val="18"/>
        </w:rPr>
      </w:pPr>
      <w:r>
        <w:rPr>
          <w:b/>
          <w:color w:val="221F1F"/>
          <w:sz w:val="18"/>
        </w:rPr>
        <w:t xml:space="preserve">PPF </w:t>
      </w:r>
      <w:r>
        <w:rPr>
          <w:color w:val="221F1F"/>
          <w:sz w:val="18"/>
        </w:rPr>
        <w:t>The PPF was established to fulfil the UK’s obligations under the EU Insolvency</w:t>
      </w:r>
      <w:r>
        <w:rPr>
          <w:color w:val="221F1F"/>
          <w:spacing w:val="-15"/>
          <w:sz w:val="18"/>
        </w:rPr>
        <w:t xml:space="preserve"> </w:t>
      </w:r>
      <w:r>
        <w:rPr>
          <w:color w:val="221F1F"/>
          <w:sz w:val="18"/>
        </w:rPr>
        <w:t>Directive.</w:t>
      </w:r>
      <w:r w:rsidR="00573CA1" w:rsidRPr="00573CA1">
        <w:rPr>
          <w:color w:val="221F1F"/>
          <w:sz w:val="18"/>
        </w:rPr>
        <w:t xml:space="preserve"> It is unlikely there will be any major changes to the PPF in the current climate</w:t>
      </w:r>
      <w:r w:rsidR="00573CA1">
        <w:rPr>
          <w:color w:val="221F1F"/>
          <w:sz w:val="18"/>
        </w:rPr>
        <w:t>.</w:t>
      </w:r>
    </w:p>
    <w:p w14:paraId="6134C747" w14:textId="4E187830" w:rsidR="00CC16C9" w:rsidRDefault="00BA78DA">
      <w:pPr>
        <w:pStyle w:val="ListParagraph"/>
        <w:numPr>
          <w:ilvl w:val="1"/>
          <w:numId w:val="1"/>
        </w:numPr>
        <w:tabs>
          <w:tab w:val="left" w:pos="820"/>
          <w:tab w:val="left" w:pos="821"/>
        </w:tabs>
        <w:spacing w:line="240" w:lineRule="auto"/>
        <w:ind w:left="820" w:right="668"/>
        <w:rPr>
          <w:rFonts w:ascii="Symbol" w:hAnsi="Symbol"/>
          <w:color w:val="221F1F"/>
          <w:sz w:val="18"/>
        </w:rPr>
      </w:pPr>
      <w:r>
        <w:rPr>
          <w:b/>
          <w:color w:val="221F1F"/>
          <w:sz w:val="18"/>
        </w:rPr>
        <w:t xml:space="preserve">Sex based annuity factors </w:t>
      </w:r>
      <w:r>
        <w:rPr>
          <w:color w:val="221F1F"/>
          <w:sz w:val="18"/>
        </w:rPr>
        <w:t>It is an EU requirement for annuity providers (but not occupational pension schemes) to use gender-neutral actuarial</w:t>
      </w:r>
      <w:r>
        <w:rPr>
          <w:color w:val="221F1F"/>
          <w:spacing w:val="-4"/>
          <w:sz w:val="18"/>
        </w:rPr>
        <w:t xml:space="preserve"> </w:t>
      </w:r>
      <w:r>
        <w:rPr>
          <w:color w:val="221F1F"/>
          <w:sz w:val="18"/>
        </w:rPr>
        <w:t>factors</w:t>
      </w:r>
      <w:r w:rsidR="00573CA1" w:rsidRPr="00573CA1">
        <w:rPr>
          <w:color w:val="221F1F"/>
          <w:sz w:val="18"/>
        </w:rPr>
        <w:t>.</w:t>
      </w:r>
      <w:r w:rsidR="00573CA1">
        <w:rPr>
          <w:color w:val="221F1F"/>
          <w:sz w:val="18"/>
        </w:rPr>
        <w:t xml:space="preserve"> </w:t>
      </w:r>
      <w:r w:rsidR="00573CA1" w:rsidRPr="00573CA1">
        <w:rPr>
          <w:color w:val="221F1F"/>
          <w:sz w:val="18"/>
        </w:rPr>
        <w:t>There would be scope for this to change and for providers to revert to gender-based factors.</w:t>
      </w:r>
    </w:p>
    <w:p w14:paraId="40CDD213" w14:textId="428C4B2B" w:rsidR="00CC16C9" w:rsidRDefault="00BA78DA">
      <w:pPr>
        <w:pStyle w:val="ListParagraph"/>
        <w:numPr>
          <w:ilvl w:val="1"/>
          <w:numId w:val="1"/>
        </w:numPr>
        <w:tabs>
          <w:tab w:val="left" w:pos="820"/>
          <w:tab w:val="left" w:pos="821"/>
        </w:tabs>
        <w:spacing w:before="2" w:line="240" w:lineRule="auto"/>
        <w:ind w:left="820" w:right="736"/>
        <w:rPr>
          <w:rFonts w:ascii="Symbol" w:hAnsi="Symbol"/>
          <w:color w:val="221F1F"/>
          <w:sz w:val="18"/>
        </w:rPr>
      </w:pPr>
      <w:r>
        <w:rPr>
          <w:b/>
          <w:color w:val="221F1F"/>
          <w:sz w:val="18"/>
        </w:rPr>
        <w:t xml:space="preserve">Data protection </w:t>
      </w:r>
      <w:r>
        <w:rPr>
          <w:color w:val="221F1F"/>
          <w:sz w:val="18"/>
        </w:rPr>
        <w:t>It is likely that current data protection legislation will remain in place (as well as new requirements equivalent to those under the EU General Data Protection</w:t>
      </w:r>
      <w:r>
        <w:rPr>
          <w:color w:val="221F1F"/>
          <w:spacing w:val="-10"/>
          <w:sz w:val="18"/>
        </w:rPr>
        <w:t xml:space="preserve"> </w:t>
      </w:r>
      <w:r>
        <w:rPr>
          <w:color w:val="221F1F"/>
          <w:sz w:val="18"/>
        </w:rPr>
        <w:t>Directive)</w:t>
      </w:r>
      <w:r w:rsidR="00573CA1" w:rsidRPr="00573CA1">
        <w:t xml:space="preserve"> </w:t>
      </w:r>
      <w:r w:rsidR="00573CA1" w:rsidRPr="00573CA1">
        <w:rPr>
          <w:color w:val="221F1F"/>
          <w:sz w:val="18"/>
        </w:rPr>
        <w:t>so that UK business can continue to transfer data to the EU.</w:t>
      </w:r>
    </w:p>
    <w:p w14:paraId="3300F03B" w14:textId="77777777" w:rsidR="00CC16C9" w:rsidRDefault="00CC16C9">
      <w:pPr>
        <w:pStyle w:val="BodyText"/>
        <w:spacing w:before="10"/>
        <w:rPr>
          <w:sz w:val="19"/>
        </w:rPr>
      </w:pPr>
    </w:p>
    <w:p w14:paraId="460CCC4B" w14:textId="77777777" w:rsidR="00CC16C9" w:rsidRDefault="00BA78DA">
      <w:pPr>
        <w:pStyle w:val="BodyText"/>
        <w:ind w:left="527"/>
      </w:pPr>
      <w:r>
        <w:t>(Relevant section of the manual is Part 6 Chapter 3.1)</w:t>
      </w:r>
    </w:p>
    <w:p w14:paraId="2C784973" w14:textId="77777777" w:rsidR="00CC16C9" w:rsidRDefault="00CC16C9">
      <w:pPr>
        <w:pStyle w:val="BodyText"/>
        <w:spacing w:before="7"/>
        <w:rPr>
          <w:sz w:val="20"/>
        </w:rPr>
      </w:pPr>
    </w:p>
    <w:p w14:paraId="1DA69945" w14:textId="77777777" w:rsidR="00CC16C9" w:rsidRDefault="00BA78DA">
      <w:pPr>
        <w:pStyle w:val="Heading1"/>
        <w:numPr>
          <w:ilvl w:val="0"/>
          <w:numId w:val="1"/>
        </w:numPr>
        <w:tabs>
          <w:tab w:val="left" w:pos="460"/>
          <w:tab w:val="left" w:pos="461"/>
        </w:tabs>
        <w:spacing w:before="63" w:line="276" w:lineRule="auto"/>
        <w:ind w:right="267"/>
      </w:pPr>
      <w:r>
        <w:t>The Pensions Regulator's Code of Practice on “governance and administration of occupational trust-based schemes</w:t>
      </w:r>
      <w:r>
        <w:rPr>
          <w:spacing w:val="-2"/>
        </w:rPr>
        <w:t xml:space="preserve"> </w:t>
      </w:r>
      <w:r>
        <w:t>providing</w:t>
      </w:r>
      <w:r>
        <w:rPr>
          <w:spacing w:val="-2"/>
        </w:rPr>
        <w:t xml:space="preserve"> </w:t>
      </w:r>
      <w:r>
        <w:t>money</w:t>
      </w:r>
      <w:r>
        <w:rPr>
          <w:spacing w:val="-2"/>
        </w:rPr>
        <w:t xml:space="preserve"> </w:t>
      </w:r>
      <w:r>
        <w:t>purchase</w:t>
      </w:r>
      <w:r>
        <w:rPr>
          <w:spacing w:val="-1"/>
        </w:rPr>
        <w:t xml:space="preserve"> </w:t>
      </w:r>
      <w:r>
        <w:t>benefits”</w:t>
      </w:r>
      <w:r>
        <w:rPr>
          <w:spacing w:val="-2"/>
        </w:rPr>
        <w:t xml:space="preserve"> </w:t>
      </w:r>
      <w:r>
        <w:t>(the</w:t>
      </w:r>
      <w:r>
        <w:rPr>
          <w:spacing w:val="-2"/>
        </w:rPr>
        <w:t xml:space="preserve"> </w:t>
      </w:r>
      <w:r>
        <w:t>“Code”)</w:t>
      </w:r>
      <w:r>
        <w:rPr>
          <w:spacing w:val="-2"/>
        </w:rPr>
        <w:t xml:space="preserve"> </w:t>
      </w:r>
      <w:r>
        <w:t>came</w:t>
      </w:r>
      <w:r>
        <w:rPr>
          <w:spacing w:val="-4"/>
        </w:rPr>
        <w:t xml:space="preserve"> </w:t>
      </w:r>
      <w:r>
        <w:t>into</w:t>
      </w:r>
      <w:r>
        <w:rPr>
          <w:spacing w:val="-3"/>
        </w:rPr>
        <w:t xml:space="preserve"> </w:t>
      </w:r>
      <w:r>
        <w:t>force</w:t>
      </w:r>
      <w:r>
        <w:rPr>
          <w:spacing w:val="-1"/>
        </w:rPr>
        <w:t xml:space="preserve"> </w:t>
      </w:r>
      <w:r>
        <w:t>on</w:t>
      </w:r>
      <w:r>
        <w:rPr>
          <w:spacing w:val="-3"/>
        </w:rPr>
        <w:t xml:space="preserve"> </w:t>
      </w:r>
      <w:r>
        <w:t>28</w:t>
      </w:r>
      <w:r>
        <w:rPr>
          <w:spacing w:val="-2"/>
        </w:rPr>
        <w:t xml:space="preserve"> </w:t>
      </w:r>
      <w:r>
        <w:t>July</w:t>
      </w:r>
      <w:r>
        <w:rPr>
          <w:spacing w:val="-1"/>
        </w:rPr>
        <w:t xml:space="preserve"> </w:t>
      </w:r>
      <w:r>
        <w:t>2016.</w:t>
      </w:r>
      <w:r>
        <w:rPr>
          <w:spacing w:val="-2"/>
        </w:rPr>
        <w:t xml:space="preserve"> </w:t>
      </w:r>
      <w:r>
        <w:t>Outline</w:t>
      </w:r>
      <w:r>
        <w:rPr>
          <w:spacing w:val="-2"/>
        </w:rPr>
        <w:t xml:space="preserve"> </w:t>
      </w:r>
      <w:r>
        <w:t>five</w:t>
      </w:r>
      <w:r>
        <w:rPr>
          <w:spacing w:val="-1"/>
        </w:rPr>
        <w:t xml:space="preserve"> </w:t>
      </w:r>
      <w:r>
        <w:t>of</w:t>
      </w:r>
      <w:r>
        <w:rPr>
          <w:spacing w:val="-2"/>
        </w:rPr>
        <w:t xml:space="preserve"> </w:t>
      </w:r>
      <w:r>
        <w:t>the six specific areas of good practice that are covered by</w:t>
      </w:r>
      <w:r>
        <w:rPr>
          <w:spacing w:val="-9"/>
        </w:rPr>
        <w:t xml:space="preserve"> </w:t>
      </w:r>
      <w:r>
        <w:t>guidance.</w:t>
      </w:r>
    </w:p>
    <w:p w14:paraId="1B52B367" w14:textId="77777777" w:rsidR="00CC16C9" w:rsidRDefault="00BA78DA">
      <w:pPr>
        <w:spacing w:before="1"/>
        <w:ind w:left="8021"/>
        <w:rPr>
          <w:b/>
          <w:sz w:val="18"/>
        </w:rPr>
      </w:pPr>
      <w:r>
        <w:rPr>
          <w:b/>
          <w:sz w:val="18"/>
        </w:rPr>
        <w:t>5 marks</w:t>
      </w:r>
    </w:p>
    <w:p w14:paraId="2F15AA38" w14:textId="77777777" w:rsidR="00B232D1" w:rsidRDefault="00BA78DA">
      <w:pPr>
        <w:pStyle w:val="BodyText"/>
        <w:spacing w:before="32"/>
        <w:ind w:left="527"/>
      </w:pPr>
      <w:r>
        <w:t>Answer should cover five of the following:</w:t>
      </w:r>
    </w:p>
    <w:p w14:paraId="4EB926E5" w14:textId="6777706D" w:rsidR="00CC16C9" w:rsidRDefault="00573CA1">
      <w:pPr>
        <w:pStyle w:val="BodyText"/>
        <w:spacing w:before="32"/>
        <w:ind w:left="527"/>
      </w:pPr>
      <w:r w:rsidRPr="00573CA1">
        <w:t xml:space="preserve">The requirements for communicating with members are largely set out in regulations. However, in the, TPR expects trustees to consider what additional information members might need </w:t>
      </w:r>
      <w:r w:rsidR="00B232D1" w:rsidRPr="00573CA1">
        <w:t>to</w:t>
      </w:r>
      <w:r w:rsidRPr="00573CA1">
        <w:t xml:space="preserve"> make informed decisions. This might include reminders about the right to transfer out or about flexible benefit options not offered by the scheme.</w:t>
      </w:r>
    </w:p>
    <w:p w14:paraId="30160D0A" w14:textId="77777777" w:rsidR="00CC16C9" w:rsidRDefault="00CC16C9">
      <w:pPr>
        <w:pStyle w:val="BodyText"/>
        <w:spacing w:before="9"/>
        <w:rPr>
          <w:sz w:val="20"/>
        </w:rPr>
      </w:pPr>
    </w:p>
    <w:p w14:paraId="58FEF70C" w14:textId="77777777" w:rsidR="00CC16C9" w:rsidRDefault="00BA78DA">
      <w:pPr>
        <w:pStyle w:val="BodyText"/>
        <w:ind w:left="527"/>
      </w:pPr>
      <w:r>
        <w:t>The six guides provide more detail and best practice in the following areas:</w:t>
      </w:r>
    </w:p>
    <w:p w14:paraId="48586CF6" w14:textId="77777777" w:rsidR="00CC16C9" w:rsidRDefault="00BA78DA">
      <w:pPr>
        <w:pStyle w:val="Heading1"/>
        <w:numPr>
          <w:ilvl w:val="1"/>
          <w:numId w:val="1"/>
        </w:numPr>
        <w:tabs>
          <w:tab w:val="left" w:pos="877"/>
          <w:tab w:val="left" w:pos="878"/>
        </w:tabs>
        <w:spacing w:before="35" w:line="229" w:lineRule="exact"/>
        <w:rPr>
          <w:rFonts w:ascii="Symbol" w:hAnsi="Symbol"/>
        </w:rPr>
      </w:pPr>
      <w:r>
        <w:t>Trustee</w:t>
      </w:r>
      <w:r>
        <w:rPr>
          <w:spacing w:val="-1"/>
        </w:rPr>
        <w:t xml:space="preserve"> </w:t>
      </w:r>
      <w:r>
        <w:t>board</w:t>
      </w:r>
    </w:p>
    <w:p w14:paraId="0358FEE6" w14:textId="77777777" w:rsidR="00CC16C9" w:rsidRDefault="00BA78DA">
      <w:pPr>
        <w:pStyle w:val="ListParagraph"/>
        <w:numPr>
          <w:ilvl w:val="1"/>
          <w:numId w:val="1"/>
        </w:numPr>
        <w:tabs>
          <w:tab w:val="left" w:pos="877"/>
          <w:tab w:val="left" w:pos="878"/>
        </w:tabs>
        <w:rPr>
          <w:rFonts w:ascii="Symbol" w:hAnsi="Symbol"/>
          <w:b/>
          <w:sz w:val="18"/>
        </w:rPr>
      </w:pPr>
      <w:r>
        <w:rPr>
          <w:b/>
          <w:sz w:val="18"/>
        </w:rPr>
        <w:t>Management</w:t>
      </w:r>
      <w:r>
        <w:rPr>
          <w:b/>
          <w:spacing w:val="-1"/>
          <w:sz w:val="18"/>
        </w:rPr>
        <w:t xml:space="preserve"> </w:t>
      </w:r>
      <w:r>
        <w:rPr>
          <w:b/>
          <w:sz w:val="18"/>
        </w:rPr>
        <w:t>skills</w:t>
      </w:r>
    </w:p>
    <w:p w14:paraId="083775C1" w14:textId="77777777" w:rsidR="00CC16C9" w:rsidRDefault="00BA78DA">
      <w:pPr>
        <w:pStyle w:val="ListParagraph"/>
        <w:numPr>
          <w:ilvl w:val="1"/>
          <w:numId w:val="1"/>
        </w:numPr>
        <w:tabs>
          <w:tab w:val="left" w:pos="877"/>
          <w:tab w:val="left" w:pos="878"/>
        </w:tabs>
        <w:spacing w:before="1"/>
        <w:rPr>
          <w:rFonts w:ascii="Symbol" w:hAnsi="Symbol"/>
          <w:b/>
          <w:sz w:val="18"/>
        </w:rPr>
      </w:pPr>
      <w:r>
        <w:rPr>
          <w:b/>
          <w:sz w:val="18"/>
        </w:rPr>
        <w:t>Scheme</w:t>
      </w:r>
      <w:r>
        <w:rPr>
          <w:b/>
          <w:spacing w:val="-1"/>
          <w:sz w:val="18"/>
        </w:rPr>
        <w:t xml:space="preserve"> </w:t>
      </w:r>
      <w:r>
        <w:rPr>
          <w:b/>
          <w:sz w:val="18"/>
        </w:rPr>
        <w:t>Administration</w:t>
      </w:r>
    </w:p>
    <w:p w14:paraId="52AD296E" w14:textId="77777777" w:rsidR="00CC16C9" w:rsidRDefault="00BA78DA">
      <w:pPr>
        <w:pStyle w:val="ListParagraph"/>
        <w:numPr>
          <w:ilvl w:val="1"/>
          <w:numId w:val="1"/>
        </w:numPr>
        <w:tabs>
          <w:tab w:val="left" w:pos="877"/>
          <w:tab w:val="left" w:pos="878"/>
        </w:tabs>
        <w:rPr>
          <w:rFonts w:ascii="Symbol" w:hAnsi="Symbol"/>
          <w:sz w:val="18"/>
        </w:rPr>
      </w:pPr>
      <w:r>
        <w:rPr>
          <w:b/>
          <w:sz w:val="18"/>
        </w:rPr>
        <w:t>Investment</w:t>
      </w:r>
      <w:r>
        <w:rPr>
          <w:b/>
          <w:spacing w:val="-1"/>
          <w:sz w:val="18"/>
        </w:rPr>
        <w:t xml:space="preserve"> </w:t>
      </w:r>
      <w:r>
        <w:rPr>
          <w:b/>
          <w:sz w:val="18"/>
        </w:rPr>
        <w:t>governance</w:t>
      </w:r>
      <w:r>
        <w:rPr>
          <w:sz w:val="18"/>
        </w:rPr>
        <w:t>.</w:t>
      </w:r>
    </w:p>
    <w:p w14:paraId="581B4344" w14:textId="77777777" w:rsidR="00CC16C9" w:rsidRDefault="00BA78DA">
      <w:pPr>
        <w:pStyle w:val="ListParagraph"/>
        <w:numPr>
          <w:ilvl w:val="1"/>
          <w:numId w:val="1"/>
        </w:numPr>
        <w:tabs>
          <w:tab w:val="left" w:pos="877"/>
          <w:tab w:val="left" w:pos="878"/>
        </w:tabs>
        <w:spacing w:before="1"/>
        <w:rPr>
          <w:rFonts w:ascii="Symbol" w:hAnsi="Symbol"/>
          <w:b/>
          <w:sz w:val="18"/>
        </w:rPr>
      </w:pPr>
      <w:r>
        <w:rPr>
          <w:b/>
          <w:sz w:val="18"/>
        </w:rPr>
        <w:t>Value for</w:t>
      </w:r>
      <w:r>
        <w:rPr>
          <w:b/>
          <w:spacing w:val="-1"/>
          <w:sz w:val="18"/>
        </w:rPr>
        <w:t xml:space="preserve"> </w:t>
      </w:r>
      <w:r>
        <w:rPr>
          <w:b/>
          <w:sz w:val="18"/>
        </w:rPr>
        <w:t>members</w:t>
      </w:r>
    </w:p>
    <w:p w14:paraId="28F06D88" w14:textId="77777777" w:rsidR="00CC16C9" w:rsidRDefault="00BA78DA">
      <w:pPr>
        <w:pStyle w:val="ListParagraph"/>
        <w:numPr>
          <w:ilvl w:val="1"/>
          <w:numId w:val="1"/>
        </w:numPr>
        <w:tabs>
          <w:tab w:val="left" w:pos="877"/>
          <w:tab w:val="left" w:pos="878"/>
        </w:tabs>
        <w:rPr>
          <w:rFonts w:ascii="Symbol" w:hAnsi="Symbol"/>
          <w:sz w:val="18"/>
        </w:rPr>
      </w:pPr>
      <w:r>
        <w:rPr>
          <w:b/>
          <w:sz w:val="18"/>
        </w:rPr>
        <w:t>Communicating and</w:t>
      </w:r>
      <w:r>
        <w:rPr>
          <w:b/>
          <w:spacing w:val="-2"/>
          <w:sz w:val="18"/>
        </w:rPr>
        <w:t xml:space="preserve"> </w:t>
      </w:r>
      <w:r>
        <w:rPr>
          <w:b/>
          <w:sz w:val="18"/>
        </w:rPr>
        <w:t>reporting</w:t>
      </w:r>
      <w:r>
        <w:rPr>
          <w:sz w:val="18"/>
        </w:rPr>
        <w:t>.</w:t>
      </w:r>
    </w:p>
    <w:p w14:paraId="2AA6CE7A" w14:textId="77777777" w:rsidR="00CC16C9" w:rsidRDefault="00CC16C9">
      <w:pPr>
        <w:pStyle w:val="BodyText"/>
        <w:rPr>
          <w:sz w:val="20"/>
        </w:rPr>
      </w:pPr>
    </w:p>
    <w:p w14:paraId="5C4BF084" w14:textId="77777777" w:rsidR="00CC16C9" w:rsidRDefault="00BA78DA">
      <w:pPr>
        <w:pStyle w:val="BodyText"/>
        <w:ind w:left="527"/>
      </w:pPr>
      <w:r>
        <w:t>(Relevant section of the manual is Part 5 Chapter 1.8.2)</w:t>
      </w:r>
    </w:p>
    <w:sectPr w:rsidR="00CC16C9">
      <w:pgSz w:w="11910" w:h="16840"/>
      <w:pgMar w:top="2200" w:right="1620" w:bottom="640" w:left="134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F77A2" w14:textId="77777777" w:rsidR="006B349E" w:rsidRDefault="006B349E">
      <w:r>
        <w:separator/>
      </w:r>
    </w:p>
  </w:endnote>
  <w:endnote w:type="continuationSeparator" w:id="0">
    <w:p w14:paraId="5572D5CA" w14:textId="77777777" w:rsidR="006B349E" w:rsidRDefault="006B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0E666" w14:textId="04CDA0F3" w:rsidR="00CC16C9" w:rsidRDefault="00BA78DA">
    <w:pPr>
      <w:pStyle w:val="BodyText"/>
      <w:spacing w:line="14" w:lineRule="auto"/>
      <w:rPr>
        <w:sz w:val="20"/>
      </w:rPr>
    </w:pPr>
    <w:r>
      <w:rPr>
        <w:noProof/>
      </w:rPr>
      <mc:AlternateContent>
        <mc:Choice Requires="wps">
          <w:drawing>
            <wp:anchor distT="0" distB="0" distL="114300" distR="114300" simplePos="0" relativeHeight="487495680" behindDoc="1" locked="0" layoutInCell="1" allowOverlap="1" wp14:anchorId="527CAB3F" wp14:editId="4659F9B6">
              <wp:simplePos x="0" y="0"/>
              <wp:positionH relativeFrom="page">
                <wp:posOffset>901700</wp:posOffset>
              </wp:positionH>
              <wp:positionV relativeFrom="page">
                <wp:posOffset>10266045</wp:posOffset>
              </wp:positionV>
              <wp:extent cx="185483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8728D" w14:textId="77777777" w:rsidR="00CC16C9" w:rsidRDefault="00BA78DA">
                          <w:pPr>
                            <w:spacing w:line="184" w:lineRule="exact"/>
                            <w:ind w:left="20"/>
                            <w:rPr>
                              <w:sz w:val="16"/>
                            </w:rPr>
                          </w:pPr>
                          <w:r>
                            <w:rPr>
                              <w:sz w:val="16"/>
                            </w:rPr>
                            <w:t>Core Unit 2 Assignment 4</w:t>
                          </w:r>
                        </w:p>
                        <w:p w14:paraId="4B5F655C" w14:textId="77777777" w:rsidR="00CC16C9" w:rsidRDefault="00BA78DA">
                          <w:pPr>
                            <w:spacing w:before="28"/>
                            <w:ind w:left="20"/>
                            <w:rPr>
                              <w:sz w:val="16"/>
                            </w:rPr>
                          </w:pPr>
                          <w:r>
                            <w:rPr>
                              <w:sz w:val="16"/>
                            </w:rPr>
                            <w:t>© The Pensions Management Institute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CAB3F" id="_x0000_t202" coordsize="21600,21600" o:spt="202" path="m,l,21600r21600,l21600,xe">
              <v:stroke joinstyle="miter"/>
              <v:path gradientshapeok="t" o:connecttype="rect"/>
            </v:shapetype>
            <v:shape id="Text Box 2" o:spid="_x0000_s1026" type="#_x0000_t202" style="position:absolute;margin-left:71pt;margin-top:808.35pt;width:146.05pt;height:21.2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" filled="f" stroked="f">
              <v:textbox inset="0,0,0,0">
                <w:txbxContent>
                  <w:p w14:paraId="5948728D" w14:textId="77777777" w:rsidR="00CC16C9" w:rsidRDefault="00BA78DA">
                    <w:pPr>
                      <w:spacing w:line="184" w:lineRule="exact"/>
                      <w:ind w:left="20"/>
                      <w:rPr>
                        <w:sz w:val="16"/>
                      </w:rPr>
                    </w:pPr>
                    <w:r>
                      <w:rPr>
                        <w:sz w:val="16"/>
                      </w:rPr>
                      <w:t>Core Unit 2 Assignment 4</w:t>
                    </w:r>
                  </w:p>
                  <w:p w14:paraId="4B5F655C" w14:textId="77777777" w:rsidR="00CC16C9" w:rsidRDefault="00BA78DA">
                    <w:pPr>
                      <w:spacing w:before="28"/>
                      <w:ind w:left="20"/>
                      <w:rPr>
                        <w:sz w:val="16"/>
                      </w:rPr>
                    </w:pPr>
                    <w:r>
                      <w:rPr>
                        <w:sz w:val="16"/>
                      </w:rPr>
                      <w:t>© The Pensions Management Institute 2020</w:t>
                    </w:r>
                  </w:p>
                </w:txbxContent>
              </v:textbox>
              <w10:wrap anchorx="page" anchory="page"/>
            </v:shape>
          </w:pict>
        </mc:Fallback>
      </mc:AlternateContent>
    </w:r>
    <w:r>
      <w:rPr>
        <w:noProof/>
      </w:rPr>
      <mc:AlternateContent>
        <mc:Choice Requires="wps">
          <w:drawing>
            <wp:anchor distT="0" distB="0" distL="114300" distR="114300" simplePos="0" relativeHeight="487496192" behindDoc="1" locked="0" layoutInCell="1" allowOverlap="1" wp14:anchorId="13C2847A" wp14:editId="72F22B06">
              <wp:simplePos x="0" y="0"/>
              <wp:positionH relativeFrom="page">
                <wp:posOffset>5474335</wp:posOffset>
              </wp:positionH>
              <wp:positionV relativeFrom="page">
                <wp:posOffset>10266045</wp:posOffset>
              </wp:positionV>
              <wp:extent cx="5454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15DFF" w14:textId="77777777" w:rsidR="00CC16C9" w:rsidRDefault="00BA78DA">
                          <w:pPr>
                            <w:spacing w:line="184" w:lineRule="exact"/>
                            <w:ind w:left="20"/>
                            <w:rPr>
                              <w:sz w:val="16"/>
                            </w:rPr>
                          </w:pPr>
                          <w:r>
                            <w:rPr>
                              <w:sz w:val="16"/>
                            </w:rPr>
                            <w:t>2020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2847A" id="Text Box 1" o:spid="_x0000_s1027" type="#_x0000_t202" style="position:absolute;margin-left:431.05pt;margin-top:808.35pt;width:42.95pt;height:10.05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" filled="f" stroked="f">
              <v:textbox inset="0,0,0,0">
                <w:txbxContent>
                  <w:p w14:paraId="61615DFF" w14:textId="77777777" w:rsidR="00CC16C9" w:rsidRDefault="00BA78DA">
                    <w:pPr>
                      <w:spacing w:line="184" w:lineRule="exact"/>
                      <w:ind w:left="20"/>
                      <w:rPr>
                        <w:sz w:val="16"/>
                      </w:rPr>
                    </w:pPr>
                    <w:r>
                      <w:rPr>
                        <w:sz w:val="16"/>
                      </w:rPr>
                      <w:t>2020 Edition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641B7" w14:textId="77777777" w:rsidR="006B349E" w:rsidRDefault="006B349E">
      <w:r>
        <w:separator/>
      </w:r>
    </w:p>
  </w:footnote>
  <w:footnote w:type="continuationSeparator" w:id="0">
    <w:p w14:paraId="48986B17" w14:textId="77777777" w:rsidR="006B349E" w:rsidRDefault="006B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41FF1" w14:textId="053077C7" w:rsidR="00CC16C9" w:rsidRDefault="00E60EE7">
    <w:pPr>
      <w:pStyle w:val="BodyText"/>
      <w:spacing w:line="14" w:lineRule="auto"/>
      <w:rPr>
        <w:sz w:val="20"/>
      </w:rPr>
    </w:pPr>
    <w:r>
      <w:rPr>
        <w:noProof/>
      </w:rPr>
      <w:drawing>
        <wp:anchor distT="0" distB="0" distL="114300" distR="114300" simplePos="0" relativeHeight="487498240" behindDoc="0" locked="0" layoutInCell="1" allowOverlap="1" wp14:anchorId="2F6FD214" wp14:editId="6FDB195D">
          <wp:simplePos x="0" y="0"/>
          <wp:positionH relativeFrom="margin">
            <wp:posOffset>0</wp:posOffset>
          </wp:positionH>
          <wp:positionV relativeFrom="paragraph">
            <wp:posOffset>6350</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1EFA"/>
    <w:multiLevelType w:val="hybridMultilevel"/>
    <w:tmpl w:val="312E2F34"/>
    <w:lvl w:ilvl="0" w:tplc="3622487A">
      <w:start w:val="1"/>
      <w:numFmt w:val="decimal"/>
      <w:lvlText w:val="%1."/>
      <w:lvlJc w:val="left"/>
      <w:pPr>
        <w:ind w:left="460" w:hanging="360"/>
        <w:jc w:val="left"/>
      </w:pPr>
      <w:rPr>
        <w:rFonts w:ascii="Carlito" w:eastAsia="Carlito" w:hAnsi="Carlito" w:cs="Carlito" w:hint="default"/>
        <w:spacing w:val="-2"/>
        <w:w w:val="100"/>
        <w:sz w:val="18"/>
        <w:szCs w:val="18"/>
        <w:lang w:val="en-US" w:eastAsia="en-US" w:bidi="ar-SA"/>
      </w:rPr>
    </w:lvl>
    <w:lvl w:ilvl="1" w:tplc="F85C8C30">
      <w:numFmt w:val="bullet"/>
      <w:lvlText w:val=""/>
      <w:lvlJc w:val="left"/>
      <w:pPr>
        <w:ind w:left="878" w:hanging="360"/>
      </w:pPr>
      <w:rPr>
        <w:rFonts w:hint="default"/>
        <w:w w:val="100"/>
        <w:lang w:val="en-US" w:eastAsia="en-US" w:bidi="ar-SA"/>
      </w:rPr>
    </w:lvl>
    <w:lvl w:ilvl="2" w:tplc="73727234">
      <w:numFmt w:val="bullet"/>
      <w:lvlText w:val="•"/>
      <w:lvlJc w:val="left"/>
      <w:pPr>
        <w:ind w:left="820" w:hanging="360"/>
      </w:pPr>
      <w:rPr>
        <w:rFonts w:hint="default"/>
        <w:lang w:val="en-US" w:eastAsia="en-US" w:bidi="ar-SA"/>
      </w:rPr>
    </w:lvl>
    <w:lvl w:ilvl="3" w:tplc="C3BE0C6E">
      <w:numFmt w:val="bullet"/>
      <w:lvlText w:val="•"/>
      <w:lvlJc w:val="left"/>
      <w:pPr>
        <w:ind w:left="880" w:hanging="360"/>
      </w:pPr>
      <w:rPr>
        <w:rFonts w:hint="default"/>
        <w:lang w:val="en-US" w:eastAsia="en-US" w:bidi="ar-SA"/>
      </w:rPr>
    </w:lvl>
    <w:lvl w:ilvl="4" w:tplc="3716C83A">
      <w:numFmt w:val="bullet"/>
      <w:lvlText w:val="•"/>
      <w:lvlJc w:val="left"/>
      <w:pPr>
        <w:ind w:left="1240" w:hanging="360"/>
      </w:pPr>
      <w:rPr>
        <w:rFonts w:hint="default"/>
        <w:lang w:val="en-US" w:eastAsia="en-US" w:bidi="ar-SA"/>
      </w:rPr>
    </w:lvl>
    <w:lvl w:ilvl="5" w:tplc="13389DDC">
      <w:numFmt w:val="bullet"/>
      <w:lvlText w:val="•"/>
      <w:lvlJc w:val="left"/>
      <w:pPr>
        <w:ind w:left="1540" w:hanging="360"/>
      </w:pPr>
      <w:rPr>
        <w:rFonts w:hint="default"/>
        <w:lang w:val="en-US" w:eastAsia="en-US" w:bidi="ar-SA"/>
      </w:rPr>
    </w:lvl>
    <w:lvl w:ilvl="6" w:tplc="7FF67BAC">
      <w:numFmt w:val="bullet"/>
      <w:lvlText w:val="•"/>
      <w:lvlJc w:val="left"/>
      <w:pPr>
        <w:ind w:left="8160" w:hanging="360"/>
      </w:pPr>
      <w:rPr>
        <w:rFonts w:hint="default"/>
        <w:lang w:val="en-US" w:eastAsia="en-US" w:bidi="ar-SA"/>
      </w:rPr>
    </w:lvl>
    <w:lvl w:ilvl="7" w:tplc="DE808F02">
      <w:numFmt w:val="bullet"/>
      <w:lvlText w:val="•"/>
      <w:lvlJc w:val="left"/>
      <w:pPr>
        <w:ind w:left="7764" w:hanging="360"/>
      </w:pPr>
      <w:rPr>
        <w:rFonts w:hint="default"/>
        <w:lang w:val="en-US" w:eastAsia="en-US" w:bidi="ar-SA"/>
      </w:rPr>
    </w:lvl>
    <w:lvl w:ilvl="8" w:tplc="A1C47864">
      <w:numFmt w:val="bullet"/>
      <w:lvlText w:val="•"/>
      <w:lvlJc w:val="left"/>
      <w:pPr>
        <w:ind w:left="7369"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C9"/>
    <w:rsid w:val="00573CA1"/>
    <w:rsid w:val="00635C00"/>
    <w:rsid w:val="006B349E"/>
    <w:rsid w:val="00742B51"/>
    <w:rsid w:val="00A53ED3"/>
    <w:rsid w:val="00B232D1"/>
    <w:rsid w:val="00BA78DA"/>
    <w:rsid w:val="00CC16C9"/>
    <w:rsid w:val="00E60EE7"/>
    <w:rsid w:val="00E61122"/>
    <w:rsid w:val="00F43003"/>
    <w:rsid w:val="00F77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E6C74C"/>
  <w15:docId w15:val="{11661CF5-5B4B-4B3B-9431-C71891FF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878"/>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904" w:right="885"/>
      <w:jc w:val="center"/>
    </w:pPr>
    <w:rPr>
      <w:sz w:val="36"/>
      <w:szCs w:val="36"/>
    </w:rPr>
  </w:style>
  <w:style w:type="paragraph" w:styleId="ListParagraph">
    <w:name w:val="List Paragraph"/>
    <w:basedOn w:val="Normal"/>
    <w:uiPriority w:val="1"/>
    <w:qFormat/>
    <w:pPr>
      <w:spacing w:line="229" w:lineRule="exact"/>
      <w:ind w:left="124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0EE7"/>
    <w:pPr>
      <w:tabs>
        <w:tab w:val="center" w:pos="4513"/>
        <w:tab w:val="right" w:pos="9026"/>
      </w:tabs>
    </w:pPr>
  </w:style>
  <w:style w:type="character" w:customStyle="1" w:styleId="HeaderChar">
    <w:name w:val="Header Char"/>
    <w:basedOn w:val="DefaultParagraphFont"/>
    <w:link w:val="Header"/>
    <w:uiPriority w:val="99"/>
    <w:rsid w:val="00E60EE7"/>
    <w:rPr>
      <w:rFonts w:ascii="Carlito" w:eastAsia="Carlito" w:hAnsi="Carlito" w:cs="Carlito"/>
    </w:rPr>
  </w:style>
  <w:style w:type="paragraph" w:styleId="Footer">
    <w:name w:val="footer"/>
    <w:basedOn w:val="Normal"/>
    <w:link w:val="FooterChar"/>
    <w:uiPriority w:val="99"/>
    <w:unhideWhenUsed/>
    <w:rsid w:val="00E60EE7"/>
    <w:pPr>
      <w:tabs>
        <w:tab w:val="center" w:pos="4513"/>
        <w:tab w:val="right" w:pos="9026"/>
      </w:tabs>
    </w:pPr>
  </w:style>
  <w:style w:type="character" w:customStyle="1" w:styleId="FooterChar">
    <w:name w:val="Footer Char"/>
    <w:basedOn w:val="DefaultParagraphFont"/>
    <w:link w:val="Footer"/>
    <w:uiPriority w:val="99"/>
    <w:rsid w:val="00E60EE7"/>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Mohamed Alim Uddin</cp:lastModifiedBy>
  <cp:revision>5</cp:revision>
  <dcterms:created xsi:type="dcterms:W3CDTF">2021-01-25T13:13:00Z</dcterms:created>
  <dcterms:modified xsi:type="dcterms:W3CDTF">2021-01-28T11:24:00Z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2021-01-22T00:00:00Z</vt:filetime>
  </property>
</Properties>
</file>