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BC49" w14:textId="77777777" w:rsidR="00D12C30" w:rsidRPr="005275D3" w:rsidRDefault="00D12C30" w:rsidP="00D12C30">
      <w:pPr>
        <w:rPr>
          <w:rFonts w:ascii="Carlito" w:hAnsi="Carlito"/>
        </w:rPr>
      </w:pPr>
    </w:p>
    <w:p w14:paraId="2FDD38FA" w14:textId="77777777" w:rsidR="00D12C30" w:rsidRPr="005275D3" w:rsidRDefault="00D12C30" w:rsidP="00D12C30">
      <w:pPr>
        <w:rPr>
          <w:rFonts w:ascii="Carlito" w:hAnsi="Carlito"/>
        </w:rPr>
      </w:pPr>
    </w:p>
    <w:p w14:paraId="54DF9D6B" w14:textId="77777777" w:rsidR="00D12C30" w:rsidRPr="005275D3" w:rsidRDefault="00D12C30" w:rsidP="00D12C30">
      <w:pPr>
        <w:rPr>
          <w:rFonts w:ascii="Carlito" w:hAnsi="Carlito"/>
        </w:rPr>
      </w:pPr>
    </w:p>
    <w:p w14:paraId="21A70078" w14:textId="77777777" w:rsidR="00D12C30" w:rsidRPr="005275D3" w:rsidRDefault="00D12C30" w:rsidP="00D12C30">
      <w:pPr>
        <w:rPr>
          <w:rFonts w:ascii="Carlito" w:hAnsi="Carlito"/>
        </w:rPr>
      </w:pPr>
    </w:p>
    <w:p w14:paraId="1EC9B2F8" w14:textId="77777777" w:rsidR="00D12C30" w:rsidRPr="005275D3" w:rsidRDefault="00D12C30" w:rsidP="00D12C30">
      <w:pPr>
        <w:rPr>
          <w:rFonts w:ascii="Carlito" w:hAnsi="Carlito"/>
        </w:rPr>
      </w:pPr>
    </w:p>
    <w:p w14:paraId="3AE3907D" w14:textId="03D5F7CD" w:rsidR="00D12C30" w:rsidRPr="005275D3" w:rsidRDefault="00510010" w:rsidP="00D12C30">
      <w:pPr>
        <w:jc w:val="center"/>
        <w:rPr>
          <w:rFonts w:ascii="Carlito" w:hAnsi="Carlito"/>
          <w:sz w:val="16"/>
          <w:szCs w:val="16"/>
        </w:rPr>
      </w:pPr>
      <w:r w:rsidRPr="005275D3">
        <w:rPr>
          <w:rFonts w:ascii="Carlito" w:hAnsi="Carlito"/>
          <w:sz w:val="36"/>
          <w:szCs w:val="32"/>
        </w:rPr>
        <w:t xml:space="preserve">Core Unit </w:t>
      </w:r>
      <w:r w:rsidR="00487340" w:rsidRPr="005275D3">
        <w:rPr>
          <w:rFonts w:ascii="Carlito" w:hAnsi="Carlito"/>
          <w:sz w:val="36"/>
          <w:szCs w:val="32"/>
        </w:rPr>
        <w:t>3</w:t>
      </w:r>
      <w:r w:rsidR="00D12C30" w:rsidRPr="005275D3">
        <w:rPr>
          <w:rFonts w:ascii="Carlito" w:hAnsi="Carlito"/>
          <w:sz w:val="36"/>
          <w:szCs w:val="32"/>
        </w:rPr>
        <w:t xml:space="preserve"> – </w:t>
      </w:r>
      <w:r w:rsidR="00084D68" w:rsidRPr="005275D3">
        <w:rPr>
          <w:rFonts w:ascii="Carlito" w:hAnsi="Carlito"/>
          <w:sz w:val="36"/>
          <w:szCs w:val="32"/>
        </w:rPr>
        <w:t>R</w:t>
      </w:r>
      <w:r w:rsidR="00487340" w:rsidRPr="005275D3">
        <w:rPr>
          <w:rFonts w:ascii="Carlito" w:hAnsi="Carlito"/>
          <w:sz w:val="36"/>
          <w:szCs w:val="32"/>
        </w:rPr>
        <w:t xml:space="preserve">unning a </w:t>
      </w:r>
      <w:r w:rsidR="001E0B6B" w:rsidRPr="005275D3">
        <w:rPr>
          <w:rFonts w:ascii="Carlito" w:hAnsi="Carlito"/>
          <w:sz w:val="36"/>
          <w:szCs w:val="32"/>
        </w:rPr>
        <w:t xml:space="preserve">Workplace </w:t>
      </w:r>
      <w:r w:rsidR="00487340" w:rsidRPr="005275D3">
        <w:rPr>
          <w:rFonts w:ascii="Carlito" w:hAnsi="Carlito"/>
          <w:sz w:val="36"/>
          <w:szCs w:val="32"/>
        </w:rPr>
        <w:t>Pension Scheme</w:t>
      </w:r>
    </w:p>
    <w:p w14:paraId="1743745C" w14:textId="77777777" w:rsidR="005275D3" w:rsidRDefault="005275D3" w:rsidP="00D12C30">
      <w:pPr>
        <w:jc w:val="center"/>
        <w:rPr>
          <w:rFonts w:ascii="Carlito" w:hAnsi="Carlito"/>
          <w:sz w:val="28"/>
          <w:szCs w:val="24"/>
        </w:rPr>
      </w:pPr>
    </w:p>
    <w:p w14:paraId="472ACE52" w14:textId="501A2D2A" w:rsidR="00D12C30" w:rsidRPr="005275D3" w:rsidRDefault="000F5DEC" w:rsidP="00D12C30">
      <w:pPr>
        <w:jc w:val="center"/>
        <w:rPr>
          <w:rFonts w:ascii="Carlito" w:hAnsi="Carlito"/>
          <w:sz w:val="28"/>
          <w:szCs w:val="24"/>
        </w:rPr>
      </w:pPr>
      <w:r w:rsidRPr="005275D3">
        <w:rPr>
          <w:rFonts w:ascii="Carlito" w:hAnsi="Carlito"/>
          <w:sz w:val="28"/>
          <w:szCs w:val="24"/>
        </w:rPr>
        <w:t xml:space="preserve">Assignment </w:t>
      </w:r>
      <w:r w:rsidR="00701F73" w:rsidRPr="005275D3">
        <w:rPr>
          <w:rFonts w:ascii="Carlito" w:hAnsi="Carlito"/>
          <w:sz w:val="28"/>
          <w:szCs w:val="24"/>
        </w:rPr>
        <w:t>5</w:t>
      </w:r>
    </w:p>
    <w:p w14:paraId="503A017F" w14:textId="77777777" w:rsidR="000138D8" w:rsidRPr="005275D3" w:rsidRDefault="000138D8" w:rsidP="000138D8">
      <w:pPr>
        <w:pStyle w:val="Heading1"/>
        <w:rPr>
          <w:rFonts w:ascii="Carlito" w:hAnsi="Carlito"/>
        </w:rPr>
      </w:pPr>
      <w:r w:rsidRPr="005275D3">
        <w:rPr>
          <w:rFonts w:ascii="Carlito" w:hAnsi="Carlito"/>
        </w:rPr>
        <w:t>(</w:t>
      </w:r>
      <w:r w:rsidR="00BE1F20" w:rsidRPr="005275D3">
        <w:rPr>
          <w:rFonts w:ascii="Carlito" w:hAnsi="Carlito"/>
        </w:rPr>
        <w:t>Part</w:t>
      </w:r>
      <w:r w:rsidRPr="005275D3">
        <w:rPr>
          <w:rFonts w:ascii="Carlito" w:hAnsi="Carlito"/>
        </w:rPr>
        <w:t xml:space="preserve"> </w:t>
      </w:r>
      <w:r w:rsidR="005B154A" w:rsidRPr="005275D3">
        <w:rPr>
          <w:rFonts w:ascii="Carlito" w:hAnsi="Carlito"/>
        </w:rPr>
        <w:t>6</w:t>
      </w:r>
      <w:r w:rsidRPr="005275D3">
        <w:rPr>
          <w:rFonts w:ascii="Carlito" w:hAnsi="Carlito"/>
        </w:rPr>
        <w:t xml:space="preserve"> – </w:t>
      </w:r>
      <w:r w:rsidR="005B154A" w:rsidRPr="005275D3">
        <w:rPr>
          <w:rFonts w:ascii="Carlito" w:hAnsi="Carlito"/>
        </w:rPr>
        <w:t>Special Situations</w:t>
      </w:r>
      <w:r w:rsidRPr="005275D3">
        <w:rPr>
          <w:rFonts w:ascii="Carlito" w:hAnsi="Carlito"/>
        </w:rPr>
        <w:t>)</w:t>
      </w:r>
    </w:p>
    <w:p w14:paraId="5C583994" w14:textId="77777777" w:rsidR="00510010" w:rsidRPr="005275D3" w:rsidRDefault="00510010" w:rsidP="00510010">
      <w:pPr>
        <w:rPr>
          <w:rFonts w:ascii="Carlito" w:hAnsi="Carlito"/>
          <w:sz w:val="18"/>
          <w:szCs w:val="18"/>
          <w:lang w:val="en-US"/>
        </w:rPr>
      </w:pPr>
    </w:p>
    <w:p w14:paraId="3FA5D7CE" w14:textId="77777777" w:rsidR="002B0FAD" w:rsidRPr="005275D3" w:rsidRDefault="00510010" w:rsidP="000F5DEC">
      <w:pPr>
        <w:tabs>
          <w:tab w:val="left" w:pos="5850"/>
        </w:tabs>
        <w:ind w:right="27"/>
        <w:jc w:val="center"/>
        <w:rPr>
          <w:rFonts w:ascii="Carlito" w:hAnsi="Carlito"/>
          <w:i/>
          <w:sz w:val="18"/>
          <w:szCs w:val="18"/>
        </w:rPr>
      </w:pPr>
      <w:r w:rsidRPr="005275D3">
        <w:rPr>
          <w:rFonts w:ascii="Carlito" w:hAnsi="Carlito"/>
          <w:i/>
          <w:sz w:val="18"/>
          <w:szCs w:val="18"/>
        </w:rPr>
        <w:t>Recommended Time: 1 Hour</w:t>
      </w:r>
    </w:p>
    <w:p w14:paraId="5854C909" w14:textId="77777777" w:rsidR="00997DBC" w:rsidRPr="005275D3" w:rsidRDefault="00997DBC" w:rsidP="00D12C30">
      <w:pPr>
        <w:jc w:val="center"/>
        <w:rPr>
          <w:rFonts w:ascii="Carlito" w:hAnsi="Carlito"/>
          <w:b/>
          <w:sz w:val="18"/>
          <w:szCs w:val="18"/>
        </w:rPr>
      </w:pPr>
    </w:p>
    <w:p w14:paraId="47B137E2" w14:textId="77777777" w:rsidR="00EB4F97" w:rsidRPr="005275D3" w:rsidRDefault="00EB4F97" w:rsidP="00D12C30">
      <w:pPr>
        <w:jc w:val="center"/>
        <w:rPr>
          <w:rFonts w:ascii="Carlito" w:hAnsi="Carlito"/>
          <w:b/>
          <w:sz w:val="18"/>
          <w:szCs w:val="18"/>
        </w:rPr>
      </w:pPr>
    </w:p>
    <w:p w14:paraId="74B9BC3B" w14:textId="77777777" w:rsidR="000F5DEC" w:rsidRPr="005275D3" w:rsidRDefault="000F5DEC" w:rsidP="000F5DEC">
      <w:pPr>
        <w:jc w:val="left"/>
        <w:rPr>
          <w:rFonts w:ascii="Carlito" w:hAnsi="Carlito"/>
          <w:b/>
          <w:sz w:val="18"/>
          <w:szCs w:val="18"/>
        </w:rPr>
      </w:pPr>
    </w:p>
    <w:p w14:paraId="14770930" w14:textId="4619C9F3" w:rsidR="00BA6B9C" w:rsidRPr="005275D3" w:rsidRDefault="005B154A" w:rsidP="00462C7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uto"/>
        <w:ind w:left="426" w:right="27" w:hanging="426"/>
        <w:jc w:val="left"/>
        <w:rPr>
          <w:rFonts w:ascii="Carlito" w:eastAsia="Times" w:hAnsi="Carlito"/>
          <w:bCs/>
          <w:sz w:val="18"/>
          <w:szCs w:val="18"/>
          <w:lang w:eastAsia="en-GB"/>
        </w:rPr>
      </w:pPr>
      <w:r w:rsidRPr="005275D3">
        <w:rPr>
          <w:rFonts w:ascii="Carlito" w:eastAsia="Times" w:hAnsi="Carlito"/>
          <w:sz w:val="18"/>
          <w:szCs w:val="18"/>
          <w:lang w:eastAsia="en-GB"/>
        </w:rPr>
        <w:t>List the</w:t>
      </w:r>
      <w:r w:rsidR="009C6BAA" w:rsidRPr="005275D3">
        <w:rPr>
          <w:rFonts w:ascii="Carlito" w:eastAsia="Times" w:hAnsi="Carlito"/>
          <w:sz w:val="18"/>
          <w:szCs w:val="18"/>
          <w:lang w:eastAsia="en-GB"/>
        </w:rPr>
        <w:t xml:space="preserve"> ways in which individuals aged 55 or over can access their defined contributions pension savings since 6 April 2015</w:t>
      </w:r>
      <w:r w:rsidR="00BA6B9C" w:rsidRPr="005275D3">
        <w:rPr>
          <w:rFonts w:ascii="Carlito" w:eastAsia="Times" w:hAnsi="Carlito"/>
          <w:sz w:val="18"/>
          <w:szCs w:val="18"/>
          <w:lang w:eastAsia="en-GB"/>
        </w:rPr>
        <w:t>.</w:t>
      </w:r>
    </w:p>
    <w:p w14:paraId="35A843B1" w14:textId="77777777" w:rsidR="000C16E9" w:rsidRPr="005275D3" w:rsidRDefault="000C16E9" w:rsidP="006E6DAF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ascii="Carlito" w:eastAsia="Times" w:hAnsi="Carlito"/>
          <w:b/>
          <w:sz w:val="18"/>
          <w:szCs w:val="18"/>
          <w:lang w:eastAsia="en-GB"/>
        </w:rPr>
      </w:pPr>
    </w:p>
    <w:p w14:paraId="13399B32" w14:textId="7DA3F0AA" w:rsidR="000C16E9" w:rsidRPr="005275D3" w:rsidRDefault="00462C7E" w:rsidP="00462C7E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jc w:val="center"/>
        <w:rPr>
          <w:rFonts w:ascii="Carlito" w:eastAsia="Times" w:hAnsi="Carlito"/>
          <w:b/>
          <w:bCs/>
          <w:sz w:val="18"/>
          <w:szCs w:val="18"/>
          <w:lang w:eastAsia="en-GB"/>
        </w:rPr>
      </w:pPr>
      <w:r>
        <w:rPr>
          <w:rFonts w:ascii="Carlito" w:eastAsia="Times" w:hAnsi="Carlito"/>
          <w:b/>
          <w:bCs/>
          <w:sz w:val="18"/>
          <w:szCs w:val="18"/>
          <w:lang w:eastAsia="en-GB"/>
        </w:rPr>
        <w:tab/>
      </w:r>
      <w:r w:rsidR="007D771D">
        <w:rPr>
          <w:rFonts w:ascii="Carlito" w:eastAsia="Times" w:hAnsi="Carlito"/>
          <w:b/>
          <w:bCs/>
          <w:sz w:val="18"/>
          <w:szCs w:val="18"/>
          <w:lang w:eastAsia="en-GB"/>
        </w:rPr>
        <w:t xml:space="preserve"> </w:t>
      </w:r>
      <w:r>
        <w:rPr>
          <w:rFonts w:ascii="Carlito" w:eastAsia="Times" w:hAnsi="Carlito"/>
          <w:b/>
          <w:bCs/>
          <w:sz w:val="18"/>
          <w:szCs w:val="18"/>
          <w:lang w:eastAsia="en-GB"/>
        </w:rPr>
        <w:t xml:space="preserve">  </w:t>
      </w:r>
      <w:r w:rsidR="009C6BAA" w:rsidRPr="005275D3">
        <w:rPr>
          <w:rFonts w:ascii="Carlito" w:eastAsia="Times" w:hAnsi="Carlito"/>
          <w:b/>
          <w:bCs/>
          <w:sz w:val="18"/>
          <w:szCs w:val="18"/>
          <w:lang w:eastAsia="en-GB"/>
        </w:rPr>
        <w:t xml:space="preserve">5 </w:t>
      </w:r>
      <w:r w:rsidR="000C16E9" w:rsidRPr="005275D3">
        <w:rPr>
          <w:rFonts w:ascii="Carlito" w:eastAsia="Times" w:hAnsi="Carlito"/>
          <w:b/>
          <w:bCs/>
          <w:sz w:val="18"/>
          <w:szCs w:val="18"/>
          <w:lang w:eastAsia="en-GB"/>
        </w:rPr>
        <w:t>marks</w:t>
      </w:r>
    </w:p>
    <w:p w14:paraId="240381FE" w14:textId="77777777" w:rsidR="005B154A" w:rsidRPr="005275D3" w:rsidRDefault="005B154A" w:rsidP="00BA6B9C">
      <w:pPr>
        <w:tabs>
          <w:tab w:val="left" w:pos="-720"/>
        </w:tabs>
        <w:suppressAutoHyphens/>
        <w:spacing w:line="240" w:lineRule="auto"/>
        <w:ind w:left="7200" w:right="27"/>
        <w:rPr>
          <w:rFonts w:ascii="Carlito" w:eastAsia="Times" w:hAnsi="Carlito"/>
          <w:b/>
          <w:bCs/>
          <w:sz w:val="18"/>
          <w:szCs w:val="18"/>
          <w:lang w:eastAsia="en-GB"/>
        </w:rPr>
      </w:pPr>
    </w:p>
    <w:p w14:paraId="359EA2EC" w14:textId="540B4DA7" w:rsidR="005B154A" w:rsidRPr="005275D3" w:rsidRDefault="00061EDB" w:rsidP="00462C7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uto"/>
        <w:ind w:left="426" w:right="27" w:hanging="426"/>
        <w:jc w:val="left"/>
        <w:rPr>
          <w:rFonts w:ascii="Carlito" w:eastAsia="Times" w:hAnsi="Carlito"/>
          <w:bCs/>
          <w:sz w:val="18"/>
          <w:szCs w:val="18"/>
          <w:lang w:eastAsia="en-GB"/>
        </w:rPr>
      </w:pPr>
      <w:r w:rsidRPr="005275D3">
        <w:rPr>
          <w:rFonts w:ascii="Carlito" w:eastAsia="Times" w:hAnsi="Carlito"/>
          <w:sz w:val="18"/>
          <w:szCs w:val="18"/>
          <w:lang w:eastAsia="en-GB"/>
        </w:rPr>
        <w:t>Summarise the key features of PPF Compensation</w:t>
      </w:r>
      <w:r w:rsidR="005B154A" w:rsidRPr="005275D3">
        <w:rPr>
          <w:rFonts w:ascii="Carlito" w:eastAsia="Times" w:hAnsi="Carlito"/>
          <w:sz w:val="18"/>
          <w:szCs w:val="18"/>
          <w:lang w:eastAsia="en-GB"/>
        </w:rPr>
        <w:t>.</w:t>
      </w:r>
    </w:p>
    <w:p w14:paraId="21DD13AC" w14:textId="77777777" w:rsidR="005B154A" w:rsidRPr="005275D3" w:rsidRDefault="005B154A" w:rsidP="005B154A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ascii="Carlito" w:eastAsia="Times" w:hAnsi="Carlito"/>
          <w:b/>
          <w:sz w:val="18"/>
          <w:szCs w:val="18"/>
          <w:lang w:eastAsia="en-GB"/>
        </w:rPr>
      </w:pPr>
    </w:p>
    <w:p w14:paraId="39488274" w14:textId="77777777" w:rsidR="005B154A" w:rsidRPr="005275D3" w:rsidRDefault="005B154A" w:rsidP="005B154A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ascii="Carlito" w:eastAsia="Times" w:hAnsi="Carlito"/>
          <w:b/>
          <w:bCs/>
          <w:sz w:val="18"/>
          <w:szCs w:val="18"/>
          <w:lang w:eastAsia="en-GB"/>
        </w:rPr>
      </w:pPr>
      <w:r w:rsidRPr="005275D3">
        <w:rPr>
          <w:rFonts w:ascii="Carlito" w:eastAsia="Times" w:hAnsi="Carlito"/>
          <w:b/>
          <w:bCs/>
          <w:sz w:val="18"/>
          <w:szCs w:val="18"/>
          <w:lang w:eastAsia="en-GB"/>
        </w:rPr>
        <w:t>10 marks</w:t>
      </w:r>
    </w:p>
    <w:p w14:paraId="71BB3125" w14:textId="77777777" w:rsidR="00066364" w:rsidRPr="005275D3" w:rsidRDefault="00066364" w:rsidP="005B154A">
      <w:pPr>
        <w:tabs>
          <w:tab w:val="left" w:pos="-720"/>
        </w:tabs>
        <w:suppressAutoHyphens/>
        <w:spacing w:line="240" w:lineRule="auto"/>
        <w:ind w:right="27"/>
        <w:jc w:val="both"/>
        <w:rPr>
          <w:rFonts w:ascii="Carlito" w:eastAsia="Times" w:hAnsi="Carlito"/>
          <w:b/>
          <w:sz w:val="18"/>
          <w:szCs w:val="18"/>
          <w:lang w:eastAsia="en-GB"/>
        </w:rPr>
      </w:pPr>
    </w:p>
    <w:p w14:paraId="35595B0B" w14:textId="2D1D0779" w:rsidR="005B154A" w:rsidRPr="005275D3" w:rsidRDefault="009C6BAA" w:rsidP="00462C7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uto"/>
        <w:ind w:left="426" w:right="27" w:hanging="426"/>
        <w:jc w:val="left"/>
        <w:rPr>
          <w:rFonts w:ascii="Carlito" w:eastAsia="Times" w:hAnsi="Carlito"/>
          <w:bCs/>
          <w:sz w:val="18"/>
          <w:szCs w:val="18"/>
          <w:lang w:eastAsia="en-GB"/>
        </w:rPr>
      </w:pPr>
      <w:r w:rsidRPr="005275D3">
        <w:rPr>
          <w:rFonts w:ascii="Carlito" w:hAnsi="Carlito"/>
          <w:sz w:val="18"/>
          <w:szCs w:val="18"/>
        </w:rPr>
        <w:t xml:space="preserve">List the information that must be provided to all members and beneficiaries when a scheme </w:t>
      </w:r>
      <w:proofErr w:type="gramStart"/>
      <w:r w:rsidRPr="005275D3">
        <w:rPr>
          <w:rFonts w:ascii="Carlito" w:hAnsi="Carlito"/>
          <w:sz w:val="18"/>
          <w:szCs w:val="18"/>
        </w:rPr>
        <w:t>is  wound</w:t>
      </w:r>
      <w:proofErr w:type="gramEnd"/>
      <w:r w:rsidRPr="005275D3">
        <w:rPr>
          <w:rFonts w:ascii="Carlito" w:hAnsi="Carlito"/>
          <w:sz w:val="18"/>
          <w:szCs w:val="18"/>
        </w:rPr>
        <w:t xml:space="preserve"> up, including the timescales in which the information must be provided.</w:t>
      </w:r>
    </w:p>
    <w:p w14:paraId="40067F8D" w14:textId="77777777" w:rsidR="005B154A" w:rsidRPr="005275D3" w:rsidRDefault="005B154A" w:rsidP="005B154A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ascii="Carlito" w:eastAsia="Times" w:hAnsi="Carlito"/>
          <w:b/>
          <w:sz w:val="18"/>
          <w:szCs w:val="18"/>
          <w:lang w:eastAsia="en-GB"/>
        </w:rPr>
      </w:pPr>
    </w:p>
    <w:p w14:paraId="545813CC" w14:textId="77777777" w:rsidR="005B154A" w:rsidRPr="005275D3" w:rsidRDefault="005B154A" w:rsidP="005B154A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ascii="Carlito" w:eastAsia="Times" w:hAnsi="Carlito"/>
          <w:b/>
          <w:bCs/>
          <w:sz w:val="18"/>
          <w:szCs w:val="18"/>
          <w:lang w:eastAsia="en-GB"/>
        </w:rPr>
      </w:pPr>
      <w:r w:rsidRPr="005275D3">
        <w:rPr>
          <w:rFonts w:ascii="Carlito" w:eastAsia="Times" w:hAnsi="Carlito"/>
          <w:b/>
          <w:bCs/>
          <w:sz w:val="18"/>
          <w:szCs w:val="18"/>
          <w:lang w:eastAsia="en-GB"/>
        </w:rPr>
        <w:t>10 marks</w:t>
      </w:r>
    </w:p>
    <w:p w14:paraId="57774C6A" w14:textId="77777777" w:rsidR="005B154A" w:rsidRPr="005275D3" w:rsidRDefault="005B154A" w:rsidP="005B154A">
      <w:pPr>
        <w:spacing w:line="240" w:lineRule="auto"/>
        <w:jc w:val="left"/>
        <w:rPr>
          <w:rFonts w:ascii="Carlito" w:hAnsi="Carlito"/>
          <w:b/>
          <w:bCs/>
          <w:sz w:val="18"/>
          <w:szCs w:val="18"/>
        </w:rPr>
      </w:pPr>
    </w:p>
    <w:p w14:paraId="16BB6623" w14:textId="4DB468C0" w:rsidR="001C543A" w:rsidRPr="005275D3" w:rsidRDefault="009C6BAA" w:rsidP="00462C7E">
      <w:pPr>
        <w:pStyle w:val="ListParagraph"/>
        <w:numPr>
          <w:ilvl w:val="0"/>
          <w:numId w:val="1"/>
        </w:numPr>
        <w:suppressAutoHyphens/>
        <w:spacing w:line="240" w:lineRule="auto"/>
        <w:ind w:left="426" w:right="27" w:hanging="426"/>
        <w:jc w:val="left"/>
        <w:rPr>
          <w:rFonts w:ascii="Carlito" w:eastAsia="Times" w:hAnsi="Carlito"/>
          <w:bCs/>
          <w:sz w:val="18"/>
          <w:szCs w:val="18"/>
          <w:lang w:eastAsia="en-GB"/>
        </w:rPr>
      </w:pPr>
      <w:r w:rsidRPr="005275D3">
        <w:rPr>
          <w:rFonts w:ascii="Carlito" w:eastAsia="MS Mincho" w:hAnsi="Carlito"/>
          <w:w w:val="0"/>
          <w:sz w:val="18"/>
          <w:szCs w:val="18"/>
        </w:rPr>
        <w:t xml:space="preserve">Explain the tax treatment of </w:t>
      </w:r>
      <w:r w:rsidR="00061EDB" w:rsidRPr="005275D3">
        <w:rPr>
          <w:rFonts w:ascii="Carlito" w:eastAsia="MS Mincho" w:hAnsi="Carlito"/>
          <w:w w:val="0"/>
          <w:sz w:val="18"/>
          <w:szCs w:val="18"/>
        </w:rPr>
        <w:t>overseas pensioners</w:t>
      </w:r>
      <w:r w:rsidR="001C543A" w:rsidRPr="005275D3">
        <w:rPr>
          <w:rFonts w:ascii="Carlito" w:eastAsia="Times" w:hAnsi="Carlito"/>
          <w:sz w:val="18"/>
          <w:szCs w:val="18"/>
          <w:lang w:eastAsia="en-GB"/>
        </w:rPr>
        <w:t>.</w:t>
      </w:r>
    </w:p>
    <w:p w14:paraId="2E4A0836" w14:textId="77777777" w:rsidR="005B154A" w:rsidRPr="005275D3" w:rsidRDefault="005B154A" w:rsidP="00462C7E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left"/>
        <w:rPr>
          <w:rFonts w:ascii="Carlito" w:eastAsia="Times" w:hAnsi="Carlito"/>
          <w:b/>
          <w:sz w:val="18"/>
          <w:szCs w:val="18"/>
          <w:lang w:eastAsia="en-GB"/>
        </w:rPr>
      </w:pPr>
    </w:p>
    <w:p w14:paraId="011022A7" w14:textId="4DDCE79A" w:rsidR="005B154A" w:rsidRPr="00462C7E" w:rsidRDefault="009C6BAA" w:rsidP="00462C7E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ascii="Carlito" w:eastAsia="Times" w:hAnsi="Carlito"/>
          <w:b/>
          <w:bCs/>
          <w:sz w:val="18"/>
          <w:szCs w:val="18"/>
          <w:lang w:eastAsia="en-GB"/>
        </w:rPr>
      </w:pPr>
      <w:r w:rsidRPr="005275D3">
        <w:rPr>
          <w:rFonts w:ascii="Carlito" w:eastAsia="Times" w:hAnsi="Carlito"/>
          <w:b/>
          <w:bCs/>
          <w:sz w:val="18"/>
          <w:szCs w:val="18"/>
          <w:lang w:eastAsia="en-GB"/>
        </w:rPr>
        <w:t>10</w:t>
      </w:r>
      <w:r w:rsidR="005B154A" w:rsidRPr="005275D3">
        <w:rPr>
          <w:rFonts w:ascii="Carlito" w:eastAsia="Times" w:hAnsi="Carlito"/>
          <w:b/>
          <w:bCs/>
          <w:sz w:val="18"/>
          <w:szCs w:val="18"/>
          <w:lang w:eastAsia="en-GB"/>
        </w:rPr>
        <w:t xml:space="preserve"> marks</w:t>
      </w:r>
    </w:p>
    <w:p w14:paraId="630E0A40" w14:textId="77777777" w:rsidR="005B154A" w:rsidRPr="005275D3" w:rsidRDefault="005B154A" w:rsidP="005B154A">
      <w:pPr>
        <w:tabs>
          <w:tab w:val="left" w:pos="-720"/>
        </w:tabs>
        <w:suppressAutoHyphens/>
        <w:spacing w:line="240" w:lineRule="auto"/>
        <w:ind w:right="27"/>
        <w:jc w:val="both"/>
        <w:rPr>
          <w:rFonts w:ascii="Carlito" w:eastAsia="Times" w:hAnsi="Carlito"/>
          <w:b/>
          <w:bCs/>
          <w:sz w:val="18"/>
          <w:szCs w:val="18"/>
          <w:lang w:eastAsia="en-GB"/>
        </w:rPr>
      </w:pPr>
    </w:p>
    <w:p w14:paraId="2CAC3230" w14:textId="62F6A240" w:rsidR="005B154A" w:rsidRPr="005275D3" w:rsidRDefault="000819D3" w:rsidP="00462C7E">
      <w:pPr>
        <w:pStyle w:val="ListParagraph"/>
        <w:numPr>
          <w:ilvl w:val="0"/>
          <w:numId w:val="1"/>
        </w:numPr>
        <w:suppressAutoHyphens/>
        <w:spacing w:line="240" w:lineRule="auto"/>
        <w:ind w:left="426" w:right="27" w:hanging="426"/>
        <w:jc w:val="left"/>
        <w:rPr>
          <w:rFonts w:ascii="Carlito" w:eastAsia="Times" w:hAnsi="Carlito"/>
          <w:bCs/>
          <w:sz w:val="18"/>
          <w:szCs w:val="18"/>
          <w:lang w:eastAsia="en-GB"/>
        </w:rPr>
      </w:pPr>
      <w:r w:rsidRPr="005275D3">
        <w:rPr>
          <w:rFonts w:ascii="Carlito" w:eastAsia="Times" w:hAnsi="Carlito"/>
          <w:sz w:val="18"/>
          <w:szCs w:val="18"/>
          <w:lang w:eastAsia="en-GB"/>
        </w:rPr>
        <w:t xml:space="preserve">List </w:t>
      </w:r>
      <w:r w:rsidR="00392F4E" w:rsidRPr="005275D3">
        <w:rPr>
          <w:rFonts w:ascii="Carlito" w:eastAsia="Times" w:hAnsi="Carlito"/>
          <w:sz w:val="18"/>
          <w:szCs w:val="18"/>
          <w:lang w:eastAsia="en-GB"/>
        </w:rPr>
        <w:t xml:space="preserve">the </w:t>
      </w:r>
      <w:r w:rsidRPr="005275D3">
        <w:rPr>
          <w:rFonts w:ascii="Carlito" w:eastAsia="Times" w:hAnsi="Carlito"/>
          <w:sz w:val="18"/>
          <w:szCs w:val="18"/>
          <w:lang w:eastAsia="en-GB"/>
        </w:rPr>
        <w:t xml:space="preserve">main changes to the </w:t>
      </w:r>
      <w:r w:rsidR="00392F4E" w:rsidRPr="005275D3">
        <w:rPr>
          <w:rFonts w:ascii="Carlito" w:eastAsia="Times" w:hAnsi="Carlito"/>
          <w:sz w:val="18"/>
          <w:szCs w:val="18"/>
          <w:lang w:eastAsia="en-GB"/>
        </w:rPr>
        <w:t>Code of Good Practice on Combatting Pension Scams</w:t>
      </w:r>
      <w:r w:rsidRPr="005275D3">
        <w:rPr>
          <w:rFonts w:ascii="Carlito" w:eastAsia="Times" w:hAnsi="Carlito"/>
          <w:sz w:val="18"/>
          <w:szCs w:val="18"/>
          <w:lang w:eastAsia="en-GB"/>
        </w:rPr>
        <w:t xml:space="preserve"> made in June 2019</w:t>
      </w:r>
      <w:r w:rsidR="005B154A" w:rsidRPr="005275D3">
        <w:rPr>
          <w:rFonts w:ascii="Carlito" w:eastAsia="Times" w:hAnsi="Carlito"/>
          <w:sz w:val="18"/>
          <w:szCs w:val="18"/>
          <w:lang w:eastAsia="en-GB"/>
        </w:rPr>
        <w:t>.</w:t>
      </w:r>
    </w:p>
    <w:p w14:paraId="650E20D2" w14:textId="77777777" w:rsidR="005B154A" w:rsidRPr="005275D3" w:rsidRDefault="005B154A" w:rsidP="005B154A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ascii="Carlito" w:eastAsia="Times" w:hAnsi="Carlito"/>
          <w:b/>
          <w:sz w:val="18"/>
          <w:szCs w:val="18"/>
          <w:lang w:eastAsia="en-GB"/>
        </w:rPr>
      </w:pPr>
    </w:p>
    <w:p w14:paraId="6A0DF9C5" w14:textId="6A3FDCDB" w:rsidR="005B154A" w:rsidRPr="005275D3" w:rsidRDefault="00462C7E" w:rsidP="00462C7E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jc w:val="center"/>
        <w:rPr>
          <w:rFonts w:ascii="Carlito" w:eastAsia="Times" w:hAnsi="Carlito"/>
          <w:b/>
          <w:bCs/>
          <w:sz w:val="18"/>
          <w:szCs w:val="18"/>
          <w:lang w:eastAsia="en-GB"/>
        </w:rPr>
      </w:pPr>
      <w:r>
        <w:rPr>
          <w:rFonts w:ascii="Carlito" w:eastAsia="Times" w:hAnsi="Carlito"/>
          <w:b/>
          <w:bCs/>
          <w:sz w:val="18"/>
          <w:szCs w:val="18"/>
          <w:lang w:eastAsia="en-GB"/>
        </w:rPr>
        <w:t xml:space="preserve">             </w:t>
      </w:r>
      <w:r w:rsidR="007D771D">
        <w:rPr>
          <w:rFonts w:ascii="Carlito" w:eastAsia="Times" w:hAnsi="Carlito"/>
          <w:b/>
          <w:bCs/>
          <w:sz w:val="18"/>
          <w:szCs w:val="18"/>
          <w:lang w:eastAsia="en-GB"/>
        </w:rPr>
        <w:t xml:space="preserve"> </w:t>
      </w:r>
      <w:r>
        <w:rPr>
          <w:rFonts w:ascii="Carlito" w:eastAsia="Times" w:hAnsi="Carlito"/>
          <w:b/>
          <w:bCs/>
          <w:sz w:val="18"/>
          <w:szCs w:val="18"/>
          <w:lang w:eastAsia="en-GB"/>
        </w:rPr>
        <w:t xml:space="preserve">     </w:t>
      </w:r>
      <w:r w:rsidR="005B154A" w:rsidRPr="005275D3">
        <w:rPr>
          <w:rFonts w:ascii="Carlito" w:eastAsia="Times" w:hAnsi="Carlito"/>
          <w:b/>
          <w:bCs/>
          <w:sz w:val="18"/>
          <w:szCs w:val="18"/>
          <w:lang w:eastAsia="en-GB"/>
        </w:rPr>
        <w:t>5 marks</w:t>
      </w:r>
    </w:p>
    <w:p w14:paraId="223736A2" w14:textId="77777777" w:rsidR="00066364" w:rsidRPr="005275D3" w:rsidRDefault="00066364" w:rsidP="005B154A">
      <w:pPr>
        <w:tabs>
          <w:tab w:val="left" w:pos="-720"/>
          <w:tab w:val="left" w:pos="426"/>
        </w:tabs>
        <w:suppressAutoHyphens/>
        <w:spacing w:line="240" w:lineRule="auto"/>
        <w:ind w:right="27"/>
        <w:jc w:val="both"/>
        <w:rPr>
          <w:rFonts w:ascii="Carlito" w:eastAsia="Times" w:hAnsi="Carlito"/>
          <w:b/>
          <w:bCs/>
          <w:sz w:val="18"/>
          <w:szCs w:val="18"/>
          <w:lang w:eastAsia="en-GB"/>
        </w:rPr>
      </w:pPr>
    </w:p>
    <w:p w14:paraId="3B37B2ED" w14:textId="3C2C3EA1" w:rsidR="005B154A" w:rsidRPr="005275D3" w:rsidRDefault="009C6BAA" w:rsidP="00462C7E">
      <w:pPr>
        <w:pStyle w:val="ListParagraph"/>
        <w:numPr>
          <w:ilvl w:val="0"/>
          <w:numId w:val="1"/>
        </w:numPr>
        <w:suppressAutoHyphens/>
        <w:spacing w:line="240" w:lineRule="auto"/>
        <w:ind w:left="426" w:right="27" w:hanging="426"/>
        <w:jc w:val="left"/>
        <w:rPr>
          <w:rFonts w:ascii="Carlito" w:eastAsia="Times" w:hAnsi="Carlito"/>
          <w:bCs/>
          <w:sz w:val="18"/>
          <w:szCs w:val="18"/>
          <w:lang w:eastAsia="en-GB"/>
        </w:rPr>
      </w:pPr>
      <w:r w:rsidRPr="005275D3">
        <w:rPr>
          <w:rFonts w:ascii="Carlito" w:hAnsi="Carlito"/>
          <w:sz w:val="18"/>
          <w:szCs w:val="18"/>
        </w:rPr>
        <w:t>Explain the Government’s 10 steps to Cyber Security</w:t>
      </w:r>
      <w:r w:rsidR="005B154A" w:rsidRPr="005275D3">
        <w:rPr>
          <w:rFonts w:ascii="Carlito" w:eastAsia="Times" w:hAnsi="Carlito"/>
          <w:sz w:val="18"/>
          <w:szCs w:val="18"/>
          <w:lang w:eastAsia="en-GB"/>
        </w:rPr>
        <w:t>.</w:t>
      </w:r>
    </w:p>
    <w:p w14:paraId="62D81246" w14:textId="77777777" w:rsidR="005B154A" w:rsidRPr="005275D3" w:rsidRDefault="005B154A" w:rsidP="005B154A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ascii="Carlito" w:eastAsia="Times" w:hAnsi="Carlito"/>
          <w:b/>
          <w:sz w:val="18"/>
          <w:szCs w:val="18"/>
          <w:lang w:eastAsia="en-GB"/>
        </w:rPr>
      </w:pPr>
    </w:p>
    <w:p w14:paraId="16420204" w14:textId="2F08BF69" w:rsidR="005B154A" w:rsidRPr="005275D3" w:rsidRDefault="00462C7E" w:rsidP="00462C7E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jc w:val="center"/>
        <w:rPr>
          <w:rFonts w:ascii="Carlito" w:eastAsia="Times" w:hAnsi="Carlito"/>
          <w:b/>
          <w:bCs/>
          <w:sz w:val="18"/>
          <w:szCs w:val="18"/>
          <w:lang w:eastAsia="en-GB"/>
        </w:rPr>
      </w:pPr>
      <w:r>
        <w:rPr>
          <w:rFonts w:ascii="Carlito" w:eastAsia="Times" w:hAnsi="Carlito"/>
          <w:b/>
          <w:bCs/>
          <w:sz w:val="18"/>
          <w:szCs w:val="18"/>
          <w:lang w:eastAsia="en-GB"/>
        </w:rPr>
        <w:t xml:space="preserve">               </w:t>
      </w:r>
      <w:r w:rsidR="007D771D">
        <w:rPr>
          <w:rFonts w:ascii="Carlito" w:eastAsia="Times" w:hAnsi="Carlito"/>
          <w:b/>
          <w:bCs/>
          <w:sz w:val="18"/>
          <w:szCs w:val="18"/>
          <w:lang w:eastAsia="en-GB"/>
        </w:rPr>
        <w:t xml:space="preserve"> </w:t>
      </w:r>
      <w:r>
        <w:rPr>
          <w:rFonts w:ascii="Carlito" w:eastAsia="Times" w:hAnsi="Carlito"/>
          <w:b/>
          <w:bCs/>
          <w:sz w:val="18"/>
          <w:szCs w:val="18"/>
          <w:lang w:eastAsia="en-GB"/>
        </w:rPr>
        <w:t xml:space="preserve">    </w:t>
      </w:r>
      <w:r w:rsidR="005B154A" w:rsidRPr="005275D3">
        <w:rPr>
          <w:rFonts w:ascii="Carlito" w:eastAsia="Times" w:hAnsi="Carlito"/>
          <w:b/>
          <w:bCs/>
          <w:sz w:val="18"/>
          <w:szCs w:val="18"/>
          <w:lang w:eastAsia="en-GB"/>
        </w:rPr>
        <w:t>10 marks</w:t>
      </w:r>
    </w:p>
    <w:p w14:paraId="574F0772" w14:textId="0DDD8858" w:rsidR="009C6BAA" w:rsidRPr="005275D3" w:rsidRDefault="009C6BAA" w:rsidP="005B154A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ascii="Carlito" w:eastAsia="Times" w:hAnsi="Carlito"/>
          <w:b/>
          <w:bCs/>
          <w:sz w:val="18"/>
          <w:szCs w:val="18"/>
          <w:lang w:eastAsia="en-GB"/>
        </w:rPr>
      </w:pPr>
    </w:p>
    <w:p w14:paraId="06C448FA" w14:textId="77777777" w:rsidR="009C6BAA" w:rsidRPr="005275D3" w:rsidRDefault="009C6BAA" w:rsidP="009C6BAA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jc w:val="left"/>
        <w:rPr>
          <w:rFonts w:ascii="Carlito" w:eastAsia="Times" w:hAnsi="Carlito"/>
          <w:b/>
          <w:bCs/>
          <w:sz w:val="18"/>
          <w:szCs w:val="18"/>
          <w:lang w:eastAsia="en-GB"/>
        </w:rPr>
      </w:pPr>
    </w:p>
    <w:sectPr w:rsidR="009C6BAA" w:rsidRPr="005275D3" w:rsidSect="00714659">
      <w:headerReference w:type="default" r:id="rId8"/>
      <w:footerReference w:type="default" r:id="rId9"/>
      <w:pgSz w:w="11906" w:h="16838" w:code="9"/>
      <w:pgMar w:top="1440" w:right="1700" w:bottom="1440" w:left="1440" w:header="706" w:footer="2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A1351" w14:textId="77777777" w:rsidR="00CD7409" w:rsidRDefault="00CD7409" w:rsidP="00D12C30">
      <w:pPr>
        <w:spacing w:line="240" w:lineRule="auto"/>
      </w:pPr>
      <w:r>
        <w:separator/>
      </w:r>
    </w:p>
  </w:endnote>
  <w:endnote w:type="continuationSeparator" w:id="0">
    <w:p w14:paraId="67014013" w14:textId="77777777" w:rsidR="00CD7409" w:rsidRDefault="00CD7409" w:rsidP="00D12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0F3AD" w14:textId="18AEB91E" w:rsidR="002B0FAD" w:rsidRPr="00A65C68" w:rsidRDefault="0098145A" w:rsidP="00D12C30">
    <w:pPr>
      <w:jc w:val="left"/>
      <w:rPr>
        <w:sz w:val="16"/>
        <w:szCs w:val="16"/>
      </w:rPr>
    </w:pPr>
    <w:r>
      <w:rPr>
        <w:sz w:val="16"/>
        <w:szCs w:val="16"/>
      </w:rPr>
      <w:t xml:space="preserve">Core Unit </w:t>
    </w:r>
    <w:r w:rsidR="001E0B6B">
      <w:rPr>
        <w:sz w:val="16"/>
        <w:szCs w:val="16"/>
      </w:rPr>
      <w:t>3</w:t>
    </w:r>
    <w:r w:rsidR="002B0FAD" w:rsidRPr="00A65C68">
      <w:rPr>
        <w:sz w:val="16"/>
        <w:szCs w:val="16"/>
      </w:rPr>
      <w:t xml:space="preserve"> Assignment </w:t>
    </w:r>
    <w:r w:rsidR="005B154A">
      <w:rPr>
        <w:sz w:val="16"/>
        <w:szCs w:val="16"/>
      </w:rPr>
      <w:t>5</w:t>
    </w:r>
    <w:r w:rsidR="001556C5">
      <w:rPr>
        <w:sz w:val="16"/>
        <w:szCs w:val="16"/>
      </w:rPr>
      <w:t xml:space="preserve"> </w:t>
    </w:r>
    <w:r w:rsidR="00EE156E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  <w:t>20</w:t>
    </w:r>
    <w:r w:rsidR="00392F4E">
      <w:rPr>
        <w:sz w:val="16"/>
        <w:szCs w:val="16"/>
      </w:rPr>
      <w:t>2</w:t>
    </w:r>
    <w:r w:rsidR="00180DE5">
      <w:rPr>
        <w:sz w:val="16"/>
        <w:szCs w:val="16"/>
      </w:rPr>
      <w:t>1</w:t>
    </w:r>
    <w:r w:rsidR="000138D8">
      <w:rPr>
        <w:sz w:val="16"/>
        <w:szCs w:val="16"/>
      </w:rPr>
      <w:t xml:space="preserve"> </w:t>
    </w:r>
    <w:r w:rsidR="002B0FAD" w:rsidRPr="00A65C68">
      <w:rPr>
        <w:sz w:val="16"/>
        <w:szCs w:val="16"/>
      </w:rPr>
      <w:t>Edition</w:t>
    </w:r>
  </w:p>
  <w:p w14:paraId="6480EC44" w14:textId="14C254D7" w:rsidR="002B0FAD" w:rsidRPr="00A65C68" w:rsidRDefault="002B0FAD" w:rsidP="00D12C30">
    <w:pPr>
      <w:jc w:val="left"/>
      <w:rPr>
        <w:sz w:val="16"/>
        <w:szCs w:val="16"/>
      </w:rPr>
    </w:pPr>
    <w:r w:rsidRPr="00A65C68">
      <w:rPr>
        <w:sz w:val="16"/>
        <w:szCs w:val="16"/>
      </w:rPr>
      <w:t>© The Pensions Management Institute 20</w:t>
    </w:r>
    <w:r w:rsidR="00180DE5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435CD" w14:textId="77777777" w:rsidR="00CD7409" w:rsidRDefault="00CD7409" w:rsidP="00D12C30">
      <w:pPr>
        <w:spacing w:line="240" w:lineRule="auto"/>
      </w:pPr>
      <w:r>
        <w:separator/>
      </w:r>
    </w:p>
  </w:footnote>
  <w:footnote w:type="continuationSeparator" w:id="0">
    <w:p w14:paraId="78D8FB6C" w14:textId="77777777" w:rsidR="00CD7409" w:rsidRDefault="00CD7409" w:rsidP="00D12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7C7D2" w14:textId="36ABCD91" w:rsidR="00A36578" w:rsidRDefault="005275D3" w:rsidP="005275D3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F9FDED" wp14:editId="2933239B">
          <wp:simplePos x="0" y="0"/>
          <wp:positionH relativeFrom="margin">
            <wp:align>left</wp:align>
          </wp:positionH>
          <wp:positionV relativeFrom="page">
            <wp:posOffset>249252</wp:posOffset>
          </wp:positionV>
          <wp:extent cx="2339975" cy="1282700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48D5"/>
    <w:multiLevelType w:val="hybridMultilevel"/>
    <w:tmpl w:val="4D1A3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152E"/>
    <w:multiLevelType w:val="hybridMultilevel"/>
    <w:tmpl w:val="88F2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3CD3"/>
    <w:multiLevelType w:val="hybridMultilevel"/>
    <w:tmpl w:val="51C4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48BB"/>
    <w:multiLevelType w:val="hybridMultilevel"/>
    <w:tmpl w:val="89D2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1894"/>
    <w:multiLevelType w:val="hybridMultilevel"/>
    <w:tmpl w:val="E93C3296"/>
    <w:lvl w:ilvl="0" w:tplc="25129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67C9F"/>
    <w:multiLevelType w:val="hybridMultilevel"/>
    <w:tmpl w:val="6F30ED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741439"/>
    <w:multiLevelType w:val="hybridMultilevel"/>
    <w:tmpl w:val="CFC2EA84"/>
    <w:lvl w:ilvl="0" w:tplc="0A4C78E4">
      <w:start w:val="1"/>
      <w:numFmt w:val="bullet"/>
      <w:pStyle w:val="PMIBullets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7707EA"/>
    <w:multiLevelType w:val="hybridMultilevel"/>
    <w:tmpl w:val="AC2A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6250">
      <w:numFmt w:val="bullet"/>
      <w:pStyle w:val="PMISubbullets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96E0E"/>
    <w:multiLevelType w:val="hybridMultilevel"/>
    <w:tmpl w:val="E5F68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00164"/>
    <w:multiLevelType w:val="hybridMultilevel"/>
    <w:tmpl w:val="F622428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9D4425A"/>
    <w:multiLevelType w:val="hybridMultilevel"/>
    <w:tmpl w:val="79BEFCF2"/>
    <w:lvl w:ilvl="0" w:tplc="09D6C32C">
      <w:start w:val="1"/>
      <w:numFmt w:val="bullet"/>
      <w:pStyle w:val="PMIPar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1A1BC8"/>
    <w:multiLevelType w:val="hybridMultilevel"/>
    <w:tmpl w:val="EEC8ED3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4D59EB"/>
    <w:multiLevelType w:val="hybridMultilevel"/>
    <w:tmpl w:val="94A4F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OLogoVersion" w:val="3"/>
  </w:docVars>
  <w:rsids>
    <w:rsidRoot w:val="00D12C30"/>
    <w:rsid w:val="000138D8"/>
    <w:rsid w:val="00041ACB"/>
    <w:rsid w:val="000615FE"/>
    <w:rsid w:val="00061EDB"/>
    <w:rsid w:val="00066364"/>
    <w:rsid w:val="0007171C"/>
    <w:rsid w:val="00072357"/>
    <w:rsid w:val="000819D3"/>
    <w:rsid w:val="00084D68"/>
    <w:rsid w:val="00097EFE"/>
    <w:rsid w:val="000B0693"/>
    <w:rsid w:val="000C16E9"/>
    <w:rsid w:val="000D79B3"/>
    <w:rsid w:val="000E28BD"/>
    <w:rsid w:val="000F3357"/>
    <w:rsid w:val="000F5DEC"/>
    <w:rsid w:val="001029A5"/>
    <w:rsid w:val="00136F7D"/>
    <w:rsid w:val="00137A18"/>
    <w:rsid w:val="001556C5"/>
    <w:rsid w:val="00180DE5"/>
    <w:rsid w:val="00196FA4"/>
    <w:rsid w:val="001A0948"/>
    <w:rsid w:val="001A7469"/>
    <w:rsid w:val="001B12D4"/>
    <w:rsid w:val="001C543A"/>
    <w:rsid w:val="001E0B6B"/>
    <w:rsid w:val="00243D9A"/>
    <w:rsid w:val="002476EE"/>
    <w:rsid w:val="00287621"/>
    <w:rsid w:val="0029453E"/>
    <w:rsid w:val="002B0FAD"/>
    <w:rsid w:val="002D3C04"/>
    <w:rsid w:val="002E78EF"/>
    <w:rsid w:val="00305817"/>
    <w:rsid w:val="00347CB6"/>
    <w:rsid w:val="003908F1"/>
    <w:rsid w:val="00392F4E"/>
    <w:rsid w:val="003A192E"/>
    <w:rsid w:val="003C110F"/>
    <w:rsid w:val="003D5410"/>
    <w:rsid w:val="003E6BEA"/>
    <w:rsid w:val="00400DA0"/>
    <w:rsid w:val="00405447"/>
    <w:rsid w:val="0046018F"/>
    <w:rsid w:val="00462C7E"/>
    <w:rsid w:val="00487340"/>
    <w:rsid w:val="004D22D9"/>
    <w:rsid w:val="004F7FEE"/>
    <w:rsid w:val="00510010"/>
    <w:rsid w:val="005111E9"/>
    <w:rsid w:val="0052064D"/>
    <w:rsid w:val="005214FA"/>
    <w:rsid w:val="0052536D"/>
    <w:rsid w:val="005275D3"/>
    <w:rsid w:val="00533591"/>
    <w:rsid w:val="00534C33"/>
    <w:rsid w:val="0054099C"/>
    <w:rsid w:val="00556563"/>
    <w:rsid w:val="00567BB5"/>
    <w:rsid w:val="005752F4"/>
    <w:rsid w:val="005A4B84"/>
    <w:rsid w:val="005B154A"/>
    <w:rsid w:val="005B54C3"/>
    <w:rsid w:val="005B7A4F"/>
    <w:rsid w:val="005C047F"/>
    <w:rsid w:val="005E3206"/>
    <w:rsid w:val="005E41A6"/>
    <w:rsid w:val="006048FE"/>
    <w:rsid w:val="00620949"/>
    <w:rsid w:val="00623174"/>
    <w:rsid w:val="0064035A"/>
    <w:rsid w:val="00676AAD"/>
    <w:rsid w:val="006E6DAF"/>
    <w:rsid w:val="00701F73"/>
    <w:rsid w:val="00714659"/>
    <w:rsid w:val="00725188"/>
    <w:rsid w:val="00780107"/>
    <w:rsid w:val="00791676"/>
    <w:rsid w:val="007D771D"/>
    <w:rsid w:val="007F1A9D"/>
    <w:rsid w:val="008252E7"/>
    <w:rsid w:val="00843B27"/>
    <w:rsid w:val="0084458A"/>
    <w:rsid w:val="0089509D"/>
    <w:rsid w:val="008B53C2"/>
    <w:rsid w:val="008D2344"/>
    <w:rsid w:val="008D25B3"/>
    <w:rsid w:val="008E1B69"/>
    <w:rsid w:val="00907E99"/>
    <w:rsid w:val="00920C8B"/>
    <w:rsid w:val="00930630"/>
    <w:rsid w:val="00934F65"/>
    <w:rsid w:val="0098145A"/>
    <w:rsid w:val="00997DBC"/>
    <w:rsid w:val="009C6BAA"/>
    <w:rsid w:val="009E105F"/>
    <w:rsid w:val="00A1418D"/>
    <w:rsid w:val="00A36578"/>
    <w:rsid w:val="00A65C68"/>
    <w:rsid w:val="00A92BA2"/>
    <w:rsid w:val="00AB5038"/>
    <w:rsid w:val="00AF6B6B"/>
    <w:rsid w:val="00B04523"/>
    <w:rsid w:val="00B96EC5"/>
    <w:rsid w:val="00BA6B9C"/>
    <w:rsid w:val="00BB5282"/>
    <w:rsid w:val="00BE1F20"/>
    <w:rsid w:val="00BF0A7C"/>
    <w:rsid w:val="00BF108A"/>
    <w:rsid w:val="00BF3262"/>
    <w:rsid w:val="00BF3398"/>
    <w:rsid w:val="00C01091"/>
    <w:rsid w:val="00C514D4"/>
    <w:rsid w:val="00C611F2"/>
    <w:rsid w:val="00C95E30"/>
    <w:rsid w:val="00CC0D2D"/>
    <w:rsid w:val="00CD7409"/>
    <w:rsid w:val="00CE6CEE"/>
    <w:rsid w:val="00D12C30"/>
    <w:rsid w:val="00D20AA9"/>
    <w:rsid w:val="00D32EC0"/>
    <w:rsid w:val="00D65AEB"/>
    <w:rsid w:val="00D906C3"/>
    <w:rsid w:val="00DA2650"/>
    <w:rsid w:val="00DA523C"/>
    <w:rsid w:val="00DC26A6"/>
    <w:rsid w:val="00DD79BB"/>
    <w:rsid w:val="00E21312"/>
    <w:rsid w:val="00EB3201"/>
    <w:rsid w:val="00EB4F97"/>
    <w:rsid w:val="00ED3BDC"/>
    <w:rsid w:val="00EE156E"/>
    <w:rsid w:val="00F25E69"/>
    <w:rsid w:val="00F3271F"/>
    <w:rsid w:val="00F37FC3"/>
    <w:rsid w:val="00F804C8"/>
    <w:rsid w:val="00F95D78"/>
    <w:rsid w:val="00FC076E"/>
    <w:rsid w:val="00FC6B8B"/>
    <w:rsid w:val="00FD2ADA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366D07"/>
  <w15:docId w15:val="{15BC2AD0-5A37-4F20-B019-E82A982C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7B"/>
    <w:pPr>
      <w:spacing w:line="276" w:lineRule="auto"/>
      <w:jc w:val="right"/>
    </w:pPr>
    <w:rPr>
      <w:sz w:val="19"/>
      <w:szCs w:val="19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138D8"/>
    <w:pPr>
      <w:keepNext/>
      <w:spacing w:line="240" w:lineRule="auto"/>
      <w:jc w:val="center"/>
      <w:outlineLvl w:val="0"/>
    </w:pPr>
    <w:rPr>
      <w:rFonts w:eastAsia="Times New Roman"/>
      <w:bCs/>
      <w:i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D12C30"/>
    <w:rPr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5DEC"/>
    <w:rPr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5DEC"/>
    <w:rPr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C6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138D8"/>
    <w:rPr>
      <w:rFonts w:eastAsia="Times New Roman"/>
      <w:bCs/>
      <w:i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BF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3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33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3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39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87340"/>
    <w:pPr>
      <w:ind w:left="720"/>
      <w:contextualSpacing/>
    </w:pPr>
  </w:style>
  <w:style w:type="paragraph" w:customStyle="1" w:styleId="Text">
    <w:name w:val="Text"/>
    <w:basedOn w:val="Normal"/>
    <w:rsid w:val="000C16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70" w:line="230" w:lineRule="exact"/>
      <w:ind w:left="960"/>
      <w:jc w:val="both"/>
    </w:pPr>
    <w:rPr>
      <w:rFonts w:ascii="Century Schoolbook" w:eastAsia="Times New Roman" w:hAnsi="Century Schoolbook" w:cs="Times New Roman"/>
      <w:spacing w:val="-6"/>
      <w:sz w:val="20"/>
      <w:szCs w:val="20"/>
      <w:lang w:val="en-US"/>
    </w:rPr>
  </w:style>
  <w:style w:type="paragraph" w:customStyle="1" w:styleId="PMIPara">
    <w:name w:val="PMI Para"/>
    <w:basedOn w:val="Normal"/>
    <w:autoRedefine/>
    <w:qFormat/>
    <w:rsid w:val="003C110F"/>
    <w:pPr>
      <w:keepLines/>
      <w:numPr>
        <w:numId w:val="4"/>
      </w:numPr>
      <w:autoSpaceDE w:val="0"/>
      <w:autoSpaceDN w:val="0"/>
      <w:adjustRightInd w:val="0"/>
      <w:spacing w:line="300" w:lineRule="auto"/>
      <w:jc w:val="left"/>
    </w:pPr>
    <w:rPr>
      <w:rFonts w:ascii="Bembo" w:eastAsiaTheme="minorHAnsi" w:hAnsi="Bembo" w:cs="Bembo"/>
      <w:color w:val="0D0D0D" w:themeColor="text1" w:themeTint="F2"/>
      <w:sz w:val="22"/>
      <w:szCs w:val="22"/>
    </w:rPr>
  </w:style>
  <w:style w:type="paragraph" w:customStyle="1" w:styleId="PMIBullets">
    <w:name w:val="PMI Bullets"/>
    <w:basedOn w:val="PMIPara"/>
    <w:qFormat/>
    <w:rsid w:val="003C110F"/>
    <w:pPr>
      <w:numPr>
        <w:numId w:val="3"/>
      </w:numPr>
    </w:pPr>
  </w:style>
  <w:style w:type="paragraph" w:customStyle="1" w:styleId="PMITableText">
    <w:name w:val="PMI Table Text"/>
    <w:basedOn w:val="PMIPara"/>
    <w:qFormat/>
    <w:rsid w:val="003C110F"/>
    <w:pPr>
      <w:spacing w:line="240" w:lineRule="auto"/>
    </w:pPr>
    <w:rPr>
      <w:rFonts w:cs="Times New Roman"/>
      <w:szCs w:val="24"/>
    </w:rPr>
  </w:style>
  <w:style w:type="paragraph" w:customStyle="1" w:styleId="PMITableTextBold">
    <w:name w:val="PMI Table Text Bold"/>
    <w:basedOn w:val="PMITableText"/>
    <w:qFormat/>
    <w:rsid w:val="003C110F"/>
    <w:rPr>
      <w:b/>
      <w:lang w:val="en-US"/>
    </w:rPr>
  </w:style>
  <w:style w:type="paragraph" w:customStyle="1" w:styleId="PMISubbullets">
    <w:name w:val="PMI Subbullets"/>
    <w:basedOn w:val="PMIBullets"/>
    <w:qFormat/>
    <w:rsid w:val="005214FA"/>
    <w:pPr>
      <w:numPr>
        <w:ilvl w:val="1"/>
        <w:numId w:val="5"/>
      </w:numPr>
      <w:ind w:left="1418" w:hanging="284"/>
    </w:pPr>
  </w:style>
  <w:style w:type="table" w:styleId="TableGrid">
    <w:name w:val="Table Grid"/>
    <w:basedOn w:val="TableNormal"/>
    <w:uiPriority w:val="59"/>
    <w:rsid w:val="00DA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8BBC-4C53-4CFA-85D6-755A8F10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7</cp:revision>
  <cp:lastPrinted>2015-12-02T17:25:00Z</cp:lastPrinted>
  <dcterms:created xsi:type="dcterms:W3CDTF">2021-01-20T15:52:00Z</dcterms:created>
  <dcterms:modified xsi:type="dcterms:W3CDTF">2021-01-26T16:02:00Z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laura.webb@towerswatson.com</vt:lpwstr>
  </property>
  <property fmtid="{D5CDD505-2E9C-101B-9397-08002B2CF9AE}" pid="5" name="MSIP_Label_9c700311-1b20-487f-9129-30717d50ca8e_SetDate">
    <vt:lpwstr>2021-01-20T15:52:10.4378270Z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a23d9ab6-6d6e-416d-8c2f-26c175b03fda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laura.webb@towerswatson.com</vt:lpwstr>
  </property>
  <property fmtid="{D5CDD505-2E9C-101B-9397-08002B2CF9AE}" pid="13" name="MSIP_Label_d347b247-e90e-43a3-9d7b-004f14ae6873_SetDate">
    <vt:lpwstr>2021-01-20T15:52:10.4378270Z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a23d9ab6-6d6e-416d-8c2f-26c175b03fda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