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9A15" w14:textId="77777777" w:rsidR="00C5497C" w:rsidRDefault="00C5497C">
      <w:pPr>
        <w:pStyle w:val="BodyText"/>
        <w:ind w:left="0"/>
        <w:rPr>
          <w:rFonts w:ascii="Times New Roman"/>
          <w:sz w:val="20"/>
        </w:rPr>
      </w:pPr>
    </w:p>
    <w:p w14:paraId="6473D631" w14:textId="1C9CD9A3" w:rsidR="00C5497C" w:rsidRPr="00573D92" w:rsidRDefault="0012359B" w:rsidP="00573D92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573D92">
        <w:rPr>
          <w:rFonts w:ascii="Neue Haas Grotesk Text Pro" w:hAnsi="Neue Haas Grotesk Text Pro"/>
          <w:b/>
          <w:bCs/>
          <w:sz w:val="28"/>
          <w:szCs w:val="28"/>
        </w:rPr>
        <w:t>Core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>Unit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>3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>–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>Running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>a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>Workplace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>Pension Scheme</w:t>
      </w:r>
    </w:p>
    <w:p w14:paraId="4855F3E4" w14:textId="77777777" w:rsidR="00573D92" w:rsidRPr="00573D92" w:rsidRDefault="00573D92" w:rsidP="00573D92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4AED0957" w14:textId="67C864BF" w:rsidR="00C5497C" w:rsidRPr="00573D92" w:rsidRDefault="0012359B" w:rsidP="00573D92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573D92">
        <w:rPr>
          <w:rFonts w:ascii="Neue Haas Grotesk Text Pro" w:hAnsi="Neue Haas Grotesk Text Pro"/>
          <w:b/>
          <w:bCs/>
          <w:sz w:val="28"/>
          <w:szCs w:val="28"/>
        </w:rPr>
        <w:t>Assignment 5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="00573D92" w:rsidRPr="00573D92">
        <w:rPr>
          <w:rFonts w:ascii="Neue Haas Grotesk Text Pro" w:hAnsi="Neue Haas Grotesk Text Pro"/>
          <w:b/>
          <w:bCs/>
          <w:sz w:val="28"/>
          <w:szCs w:val="28"/>
        </w:rPr>
        <w:t>N</w:t>
      </w:r>
      <w:r w:rsidRPr="00573D92">
        <w:rPr>
          <w:rFonts w:ascii="Neue Haas Grotesk Text Pro" w:hAnsi="Neue Haas Grotesk Text Pro"/>
          <w:b/>
          <w:bCs/>
          <w:sz w:val="28"/>
          <w:szCs w:val="28"/>
        </w:rPr>
        <w:t>otes</w:t>
      </w:r>
    </w:p>
    <w:p w14:paraId="052B3479" w14:textId="77777777" w:rsidR="00573D92" w:rsidRPr="00573D92" w:rsidRDefault="00573D92" w:rsidP="00573D92">
      <w:pPr>
        <w:jc w:val="center"/>
        <w:rPr>
          <w:rFonts w:ascii="Neue Haas Grotesk Text Pro" w:hAnsi="Neue Haas Grotesk Text Pro"/>
        </w:rPr>
      </w:pPr>
    </w:p>
    <w:p w14:paraId="4BE7EA58" w14:textId="77777777" w:rsidR="00573D92" w:rsidRDefault="0012359B" w:rsidP="00573D92">
      <w:pPr>
        <w:jc w:val="center"/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(Part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6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–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Special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 xml:space="preserve">Situations) </w:t>
      </w:r>
    </w:p>
    <w:p w14:paraId="3ADAD2D3" w14:textId="77777777" w:rsidR="00573D92" w:rsidRDefault="00573D92" w:rsidP="00573D92">
      <w:pPr>
        <w:jc w:val="center"/>
        <w:rPr>
          <w:rFonts w:ascii="Neue Haas Grotesk Text Pro" w:hAnsi="Neue Haas Grotesk Text Pro"/>
        </w:rPr>
      </w:pPr>
    </w:p>
    <w:p w14:paraId="028C2BE5" w14:textId="77D6BDC5" w:rsidR="00C5497C" w:rsidRDefault="0012359B" w:rsidP="00573D92">
      <w:pPr>
        <w:jc w:val="center"/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R</w:t>
      </w:r>
      <w:r w:rsidRPr="00573D92">
        <w:rPr>
          <w:rFonts w:ascii="Neue Haas Grotesk Text Pro" w:hAnsi="Neue Haas Grotesk Text Pro"/>
        </w:rPr>
        <w:t>e</w:t>
      </w:r>
      <w:r w:rsidRPr="00573D92">
        <w:rPr>
          <w:rFonts w:ascii="Neue Haas Grotesk Text Pro" w:hAnsi="Neue Haas Grotesk Text Pro"/>
        </w:rPr>
        <w:t>c</w:t>
      </w:r>
      <w:r w:rsidRPr="00573D92">
        <w:rPr>
          <w:rFonts w:ascii="Neue Haas Grotesk Text Pro" w:hAnsi="Neue Haas Grotesk Text Pro"/>
        </w:rPr>
        <w:t>omm</w:t>
      </w:r>
      <w:r w:rsidRPr="00573D92">
        <w:rPr>
          <w:rFonts w:ascii="Neue Haas Grotesk Text Pro" w:hAnsi="Neue Haas Grotesk Text Pro"/>
        </w:rPr>
        <w:t>e</w:t>
      </w:r>
      <w:r w:rsidRPr="00573D92">
        <w:rPr>
          <w:rFonts w:ascii="Neue Haas Grotesk Text Pro" w:hAnsi="Neue Haas Grotesk Text Pro"/>
        </w:rPr>
        <w:t>n</w:t>
      </w:r>
      <w:r w:rsidRPr="00573D92">
        <w:rPr>
          <w:rFonts w:ascii="Neue Haas Grotesk Text Pro" w:hAnsi="Neue Haas Grotesk Text Pro"/>
        </w:rPr>
        <w:t>ded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T</w:t>
      </w:r>
      <w:r w:rsidRPr="00573D92">
        <w:rPr>
          <w:rFonts w:ascii="Neue Haas Grotesk Text Pro" w:hAnsi="Neue Haas Grotesk Text Pro"/>
        </w:rPr>
        <w:t>i</w:t>
      </w:r>
      <w:r w:rsidRPr="00573D92">
        <w:rPr>
          <w:rFonts w:ascii="Neue Haas Grotesk Text Pro" w:hAnsi="Neue Haas Grotesk Text Pro"/>
        </w:rPr>
        <w:t>m</w:t>
      </w:r>
      <w:r w:rsidRPr="00573D92">
        <w:rPr>
          <w:rFonts w:ascii="Neue Haas Grotesk Text Pro" w:hAnsi="Neue Haas Grotesk Text Pro"/>
        </w:rPr>
        <w:t>e</w:t>
      </w:r>
      <w:r w:rsidRPr="00573D92">
        <w:rPr>
          <w:rFonts w:ascii="Neue Haas Grotesk Text Pro" w:hAnsi="Neue Haas Grotesk Text Pro"/>
        </w:rPr>
        <w:t>: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1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Hou</w:t>
      </w:r>
      <w:r w:rsidRPr="00573D92">
        <w:rPr>
          <w:rFonts w:ascii="Neue Haas Grotesk Text Pro" w:hAnsi="Neue Haas Grotesk Text Pro"/>
        </w:rPr>
        <w:t>r</w:t>
      </w:r>
    </w:p>
    <w:p w14:paraId="043B1599" w14:textId="69B838C4" w:rsidR="00573D92" w:rsidRDefault="00573D92" w:rsidP="00573D92">
      <w:pPr>
        <w:jc w:val="center"/>
        <w:rPr>
          <w:rFonts w:ascii="Neue Haas Grotesk Text Pro" w:hAnsi="Neue Haas Grotesk Text Pro"/>
        </w:rPr>
      </w:pPr>
    </w:p>
    <w:p w14:paraId="5B669B28" w14:textId="77777777" w:rsidR="00573D92" w:rsidRPr="00573D92" w:rsidRDefault="00573D92" w:rsidP="00573D92">
      <w:pPr>
        <w:jc w:val="center"/>
        <w:rPr>
          <w:rFonts w:ascii="Neue Haas Grotesk Text Pro" w:hAnsi="Neue Haas Grotesk Text Pro"/>
        </w:rPr>
      </w:pPr>
    </w:p>
    <w:p w14:paraId="567CA923" w14:textId="179065D0" w:rsidR="00C5497C" w:rsidRPr="00573D92" w:rsidRDefault="0012359B" w:rsidP="00573D92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573D92">
        <w:rPr>
          <w:rFonts w:ascii="Neue Haas Grotesk Text Pro" w:hAnsi="Neue Haas Grotesk Text Pro"/>
          <w:b/>
          <w:bCs/>
        </w:rPr>
        <w:t>List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the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ways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in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which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individuals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aged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55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or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over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can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access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their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defined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 xml:space="preserve">contributions </w:t>
      </w:r>
      <w:r w:rsidRPr="00573D92">
        <w:rPr>
          <w:rFonts w:ascii="Neue Haas Grotesk Text Pro" w:hAnsi="Neue Haas Grotesk Text Pro"/>
          <w:b/>
          <w:bCs/>
        </w:rPr>
        <w:t>pension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savings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since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6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April</w:t>
      </w:r>
      <w:r w:rsidRPr="00573D92">
        <w:rPr>
          <w:rFonts w:ascii="Neue Haas Grotesk Text Pro" w:hAnsi="Neue Haas Grotesk Text Pro"/>
          <w:b/>
          <w:bCs/>
        </w:rPr>
        <w:t xml:space="preserve"> </w:t>
      </w:r>
      <w:r w:rsidRPr="00573D92">
        <w:rPr>
          <w:rFonts w:ascii="Neue Haas Grotesk Text Pro" w:hAnsi="Neue Haas Grotesk Text Pro"/>
          <w:b/>
          <w:bCs/>
        </w:rPr>
        <w:t>2015</w:t>
      </w:r>
      <w:r w:rsidR="00573D92" w:rsidRPr="00573D92">
        <w:rPr>
          <w:rFonts w:ascii="Neue Haas Grotesk Text Pro" w:hAnsi="Neue Haas Grotesk Text Pro"/>
          <w:b/>
          <w:bCs/>
        </w:rPr>
        <w:t>.</w:t>
      </w:r>
    </w:p>
    <w:p w14:paraId="07717F5C" w14:textId="77777777" w:rsidR="00C5497C" w:rsidRPr="00573D92" w:rsidRDefault="00C5497C" w:rsidP="00573D92">
      <w:pPr>
        <w:rPr>
          <w:rFonts w:ascii="Neue Haas Grotesk Text Pro" w:hAnsi="Neue Haas Grotesk Text Pro"/>
        </w:rPr>
      </w:pPr>
    </w:p>
    <w:p w14:paraId="282F9629" w14:textId="77777777" w:rsidR="00C5497C" w:rsidRPr="00573D92" w:rsidRDefault="0012359B" w:rsidP="00573D92">
      <w:pPr>
        <w:ind w:firstLine="360"/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A</w:t>
      </w:r>
      <w:r w:rsidRPr="00573D92">
        <w:rPr>
          <w:rFonts w:ascii="Neue Haas Grotesk Text Pro" w:hAnsi="Neue Haas Grotesk Text Pro"/>
        </w:rPr>
        <w:t>nsw</w:t>
      </w:r>
      <w:r w:rsidRPr="00573D92">
        <w:rPr>
          <w:rFonts w:ascii="Neue Haas Grotesk Text Pro" w:hAnsi="Neue Haas Grotesk Text Pro"/>
        </w:rPr>
        <w:t>e</w:t>
      </w:r>
      <w:r w:rsidRPr="00573D92">
        <w:rPr>
          <w:rFonts w:ascii="Neue Haas Grotesk Text Pro" w:hAnsi="Neue Haas Grotesk Text Pro"/>
        </w:rPr>
        <w:t>r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sh</w:t>
      </w:r>
      <w:r w:rsidRPr="00573D92">
        <w:rPr>
          <w:rFonts w:ascii="Neue Haas Grotesk Text Pro" w:hAnsi="Neue Haas Grotesk Text Pro"/>
        </w:rPr>
        <w:t>o</w:t>
      </w:r>
      <w:r w:rsidRPr="00573D92">
        <w:rPr>
          <w:rFonts w:ascii="Neue Haas Grotesk Text Pro" w:hAnsi="Neue Haas Grotesk Text Pro"/>
        </w:rPr>
        <w:t>u</w:t>
      </w:r>
      <w:r w:rsidRPr="00573D92">
        <w:rPr>
          <w:rFonts w:ascii="Neue Haas Grotesk Text Pro" w:hAnsi="Neue Haas Grotesk Text Pro"/>
        </w:rPr>
        <w:t>ld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c</w:t>
      </w:r>
      <w:r w:rsidRPr="00573D92">
        <w:rPr>
          <w:rFonts w:ascii="Neue Haas Grotesk Text Pro" w:hAnsi="Neue Haas Grotesk Text Pro"/>
        </w:rPr>
        <w:t>o</w:t>
      </w:r>
      <w:r w:rsidRPr="00573D92">
        <w:rPr>
          <w:rFonts w:ascii="Neue Haas Grotesk Text Pro" w:hAnsi="Neue Haas Grotesk Text Pro"/>
        </w:rPr>
        <w:t>v</w:t>
      </w:r>
      <w:r w:rsidRPr="00573D92">
        <w:rPr>
          <w:rFonts w:ascii="Neue Haas Grotesk Text Pro" w:hAnsi="Neue Haas Grotesk Text Pro"/>
        </w:rPr>
        <w:t>e</w:t>
      </w:r>
      <w:r w:rsidRPr="00573D92">
        <w:rPr>
          <w:rFonts w:ascii="Neue Haas Grotesk Text Pro" w:hAnsi="Neue Haas Grotesk Text Pro"/>
        </w:rPr>
        <w:t>r</w:t>
      </w:r>
      <w:r w:rsidRPr="00573D92">
        <w:rPr>
          <w:rFonts w:ascii="Neue Haas Grotesk Text Pro" w:hAnsi="Neue Haas Grotesk Text Pro"/>
        </w:rPr>
        <w:t>:</w:t>
      </w:r>
    </w:p>
    <w:p w14:paraId="44A05D0A" w14:textId="77777777" w:rsidR="00C5497C" w:rsidRPr="00573D92" w:rsidRDefault="00C5497C" w:rsidP="00573D92">
      <w:pPr>
        <w:rPr>
          <w:rFonts w:ascii="Neue Haas Grotesk Text Pro" w:hAnsi="Neue Haas Grotesk Text Pro"/>
        </w:rPr>
      </w:pPr>
    </w:p>
    <w:p w14:paraId="571E20AC" w14:textId="77777777" w:rsidR="00C5497C" w:rsidRPr="00573D92" w:rsidRDefault="0012359B" w:rsidP="00573D92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Leave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the pot untouched</w:t>
      </w:r>
    </w:p>
    <w:p w14:paraId="39D850BC" w14:textId="77777777" w:rsidR="00C5497C" w:rsidRPr="00573D92" w:rsidRDefault="0012359B" w:rsidP="00573D92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Get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a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guaranteed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income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(annuity)</w:t>
      </w:r>
    </w:p>
    <w:p w14:paraId="3A9E0581" w14:textId="77777777" w:rsidR="00C5497C" w:rsidRPr="00573D92" w:rsidRDefault="0012359B" w:rsidP="00573D92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Get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an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adjustable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income</w:t>
      </w:r>
    </w:p>
    <w:p w14:paraId="5B45EB18" w14:textId="77777777" w:rsidR="00C5497C" w:rsidRPr="00573D92" w:rsidRDefault="0012359B" w:rsidP="00573D92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Take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cash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out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in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chunks</w:t>
      </w:r>
    </w:p>
    <w:p w14:paraId="2458F1A1" w14:textId="77777777" w:rsidR="00C5497C" w:rsidRPr="00573D92" w:rsidRDefault="0012359B" w:rsidP="00573D92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Take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whole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pot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in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one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go</w:t>
      </w:r>
    </w:p>
    <w:p w14:paraId="033A7546" w14:textId="77777777" w:rsidR="00C5497C" w:rsidRPr="00573D92" w:rsidRDefault="0012359B" w:rsidP="00573D92">
      <w:pPr>
        <w:pStyle w:val="ListParagraph"/>
        <w:numPr>
          <w:ilvl w:val="0"/>
          <w:numId w:val="4"/>
        </w:numPr>
        <w:rPr>
          <w:rFonts w:ascii="Neue Haas Grotesk Text Pro" w:hAnsi="Neue Haas Grotesk Text Pro"/>
        </w:rPr>
      </w:pPr>
      <w:r w:rsidRPr="00573D92">
        <w:rPr>
          <w:rFonts w:ascii="Neue Haas Grotesk Text Pro" w:hAnsi="Neue Haas Grotesk Text Pro"/>
        </w:rPr>
        <w:t>Mix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the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above</w:t>
      </w:r>
      <w:r w:rsidRPr="00573D92">
        <w:rPr>
          <w:rFonts w:ascii="Neue Haas Grotesk Text Pro" w:hAnsi="Neue Haas Grotesk Text Pro"/>
        </w:rPr>
        <w:t xml:space="preserve"> </w:t>
      </w:r>
      <w:r w:rsidRPr="00573D92">
        <w:rPr>
          <w:rFonts w:ascii="Neue Haas Grotesk Text Pro" w:hAnsi="Neue Haas Grotesk Text Pro"/>
        </w:rPr>
        <w:t>options</w:t>
      </w:r>
    </w:p>
    <w:p w14:paraId="74B1B25A" w14:textId="77777777" w:rsidR="00C5497C" w:rsidRPr="00573D92" w:rsidRDefault="00C5497C" w:rsidP="00573D92">
      <w:pPr>
        <w:rPr>
          <w:rFonts w:ascii="Neue Haas Grotesk Text Pro" w:hAnsi="Neue Haas Grotesk Text Pro"/>
        </w:rPr>
      </w:pPr>
    </w:p>
    <w:p w14:paraId="7F701673" w14:textId="77777777" w:rsidR="00C5497C" w:rsidRPr="00573D92" w:rsidRDefault="0012359B" w:rsidP="00573D92">
      <w:pPr>
        <w:ind w:left="8640" w:firstLine="720"/>
        <w:rPr>
          <w:rFonts w:ascii="Neue Haas Grotesk Text Pro" w:hAnsi="Neue Haas Grotesk Text Pro"/>
          <w:b/>
          <w:bCs/>
        </w:rPr>
      </w:pPr>
      <w:r w:rsidRPr="00573D92">
        <w:rPr>
          <w:rFonts w:ascii="Neue Haas Grotesk Text Pro" w:hAnsi="Neue Haas Grotesk Text Pro"/>
          <w:b/>
          <w:bCs/>
        </w:rPr>
        <w:t>5 marks</w:t>
      </w:r>
    </w:p>
    <w:p w14:paraId="0A1A2E85" w14:textId="77777777" w:rsidR="00C5497C" w:rsidRPr="00573D92" w:rsidRDefault="00C5497C" w:rsidP="00573D92"/>
    <w:p w14:paraId="297757CB" w14:textId="5761F007" w:rsidR="00C5497C" w:rsidRPr="00586907" w:rsidRDefault="0012359B" w:rsidP="00573D92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586907">
        <w:rPr>
          <w:rFonts w:ascii="Neue Haas Grotesk Text Pro" w:hAnsi="Neue Haas Grotesk Text Pro"/>
          <w:b/>
          <w:bCs/>
        </w:rPr>
        <w:t>Summarise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the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key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features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of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PPF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Compensation</w:t>
      </w:r>
      <w:r w:rsidR="00573D92" w:rsidRPr="00586907">
        <w:rPr>
          <w:rFonts w:ascii="Neue Haas Grotesk Text Pro" w:hAnsi="Neue Haas Grotesk Text Pro"/>
          <w:b/>
          <w:bCs/>
        </w:rPr>
        <w:t>.</w:t>
      </w:r>
    </w:p>
    <w:p w14:paraId="626FD86B" w14:textId="77777777" w:rsidR="00C5497C" w:rsidRPr="00586907" w:rsidRDefault="00C5497C" w:rsidP="00573D92">
      <w:pPr>
        <w:rPr>
          <w:rFonts w:ascii="Neue Haas Grotesk Text Pro" w:hAnsi="Neue Haas Grotesk Text Pro"/>
        </w:rPr>
      </w:pPr>
    </w:p>
    <w:p w14:paraId="77CE5A42" w14:textId="77777777" w:rsidR="00C5497C" w:rsidRPr="00586907" w:rsidRDefault="0012359B" w:rsidP="00586907">
      <w:pPr>
        <w:ind w:left="360"/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>nsw</w:t>
      </w:r>
      <w:r w:rsidRPr="00586907">
        <w:rPr>
          <w:rFonts w:ascii="Neue Haas Grotesk Text Pro" w:hAnsi="Neue Haas Grotesk Text Pro"/>
        </w:rPr>
        <w:t>e</w:t>
      </w:r>
      <w:r w:rsidRPr="00586907">
        <w:rPr>
          <w:rFonts w:ascii="Neue Haas Grotesk Text Pro" w:hAnsi="Neue Haas Grotesk Text Pro"/>
        </w:rPr>
        <w:t>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sh</w:t>
      </w:r>
      <w:r w:rsidRPr="00586907">
        <w:rPr>
          <w:rFonts w:ascii="Neue Haas Grotesk Text Pro" w:hAnsi="Neue Haas Grotesk Text Pro"/>
        </w:rPr>
        <w:t>o</w:t>
      </w:r>
      <w:r w:rsidRPr="00586907">
        <w:rPr>
          <w:rFonts w:ascii="Neue Haas Grotesk Text Pro" w:hAnsi="Neue Haas Grotesk Text Pro"/>
        </w:rPr>
        <w:t>u</w:t>
      </w:r>
      <w:r w:rsidRPr="00586907">
        <w:rPr>
          <w:rFonts w:ascii="Neue Haas Grotesk Text Pro" w:hAnsi="Neue Haas Grotesk Text Pro"/>
        </w:rPr>
        <w:t>ld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</w:t>
      </w:r>
      <w:r w:rsidRPr="00586907">
        <w:rPr>
          <w:rFonts w:ascii="Neue Haas Grotesk Text Pro" w:hAnsi="Neue Haas Grotesk Text Pro"/>
        </w:rPr>
        <w:t>o</w:t>
      </w:r>
      <w:r w:rsidRPr="00586907">
        <w:rPr>
          <w:rFonts w:ascii="Neue Haas Grotesk Text Pro" w:hAnsi="Neue Haas Grotesk Text Pro"/>
        </w:rPr>
        <w:t>v</w:t>
      </w:r>
      <w:r w:rsidRPr="00586907">
        <w:rPr>
          <w:rFonts w:ascii="Neue Haas Grotesk Text Pro" w:hAnsi="Neue Haas Grotesk Text Pro"/>
        </w:rPr>
        <w:t>e</w:t>
      </w:r>
      <w:r w:rsidRPr="00586907">
        <w:rPr>
          <w:rFonts w:ascii="Neue Haas Grotesk Text Pro" w:hAnsi="Neue Haas Grotesk Text Pro"/>
        </w:rPr>
        <w:t>r</w:t>
      </w:r>
      <w:r w:rsidRPr="00586907">
        <w:rPr>
          <w:rFonts w:ascii="Neue Haas Grotesk Text Pro" w:hAnsi="Neue Haas Grotesk Text Pro"/>
        </w:rPr>
        <w:t>:</w:t>
      </w:r>
    </w:p>
    <w:p w14:paraId="42698A91" w14:textId="77777777" w:rsidR="00C5497C" w:rsidRPr="00586907" w:rsidRDefault="00C5497C" w:rsidP="00573D92">
      <w:pPr>
        <w:rPr>
          <w:rFonts w:ascii="Neue Haas Grotesk Text Pro" w:hAnsi="Neue Haas Grotesk Text Pro"/>
        </w:rPr>
      </w:pPr>
    </w:p>
    <w:p w14:paraId="65F5A86D" w14:textId="0645C76B" w:rsidR="00C5497C" w:rsidRPr="00586907" w:rsidRDefault="0012359B" w:rsidP="00586907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Once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scheme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transferred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PPF,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assets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liabilities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transferred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fund, which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provide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PPF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compensation.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level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compensation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depends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position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 member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point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employer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went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insolvent.</w:t>
      </w:r>
    </w:p>
    <w:p w14:paraId="10468B13" w14:textId="243D26AA" w:rsidR="00C5497C" w:rsidRPr="00586907" w:rsidRDefault="0012359B" w:rsidP="00586907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Members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over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Normal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Age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receipt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health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survivor’s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receive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100%</w:t>
      </w:r>
      <w:r w:rsidR="00573D92"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 the pension payable at that time.</w:t>
      </w:r>
    </w:p>
    <w:p w14:paraId="7D52060E" w14:textId="16681653" w:rsidR="00C5497C" w:rsidRPr="00586907" w:rsidRDefault="0012359B" w:rsidP="00586907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For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others,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compensation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90%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accrued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benefits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subject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overall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cap, which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depends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member’s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age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date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commencement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benefits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length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 pensionable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service,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with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long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service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compensation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cap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introduced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from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6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April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2017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where pensionable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service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greater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than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20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years.</w:t>
      </w:r>
    </w:p>
    <w:p w14:paraId="4EBF4317" w14:textId="77777777" w:rsidR="00C5497C" w:rsidRPr="00586907" w:rsidRDefault="0012359B" w:rsidP="00586907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For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service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20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years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less,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for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year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commencing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1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April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2020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 maximum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level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compensation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£37,315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p.a.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for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benefits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commencing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65,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</w:p>
    <w:p w14:paraId="32F7F7AD" w14:textId="77777777" w:rsidR="00586907" w:rsidRDefault="0012359B" w:rsidP="00586907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£31,275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p.a.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for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benefits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commencing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age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60.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For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purpose,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benefits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comprise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 xml:space="preserve">of </w:t>
      </w:r>
      <w:r w:rsidRPr="00586907">
        <w:rPr>
          <w:rFonts w:ascii="Neue Haas Grotesk Text Pro" w:hAnsi="Neue Haas Grotesk Text Pro"/>
        </w:rPr>
        <w:t>pension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equivalent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any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separate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cash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sum.</w:t>
      </w:r>
    </w:p>
    <w:p w14:paraId="6476DDF8" w14:textId="1285D2E3" w:rsidR="00C5497C" w:rsidRPr="00586907" w:rsidRDefault="0012359B" w:rsidP="00586907">
      <w:pPr>
        <w:pStyle w:val="ListParagraph"/>
        <w:numPr>
          <w:ilvl w:val="0"/>
          <w:numId w:val="6"/>
        </w:numPr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For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service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21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years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more,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compensation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cap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increased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by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3%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 xml:space="preserve">per </w:t>
      </w:r>
      <w:r w:rsidRPr="00586907">
        <w:rPr>
          <w:rFonts w:ascii="Neue Haas Grotesk Text Pro" w:hAnsi="Neue Haas Grotesk Text Pro"/>
        </w:rPr>
        <w:t>complete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year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service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above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20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years,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up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maximum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double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 xml:space="preserve">standard </w:t>
      </w:r>
      <w:r w:rsidRPr="00586907">
        <w:rPr>
          <w:rFonts w:ascii="Neue Haas Grotesk Text Pro" w:hAnsi="Neue Haas Grotesk Text Pro"/>
        </w:rPr>
        <w:t>compensation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cap.</w:t>
      </w:r>
    </w:p>
    <w:p w14:paraId="6E897BA6" w14:textId="49539AE9" w:rsidR="00C5497C" w:rsidRPr="00586907" w:rsidRDefault="0012359B" w:rsidP="00586907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Pensions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also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receive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LPI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indexation,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capped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2.5%,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benefits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attributable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service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after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5</w:t>
      </w:r>
      <w:r w:rsidR="00573D92"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April 1997, and a spouse’s benefit on death.</w:t>
      </w:r>
    </w:p>
    <w:p w14:paraId="2B59811F" w14:textId="77777777" w:rsidR="00C5497C" w:rsidRPr="00573D92" w:rsidRDefault="00C5497C" w:rsidP="00573D92"/>
    <w:p w14:paraId="654AA8CE" w14:textId="77777777" w:rsidR="00C5497C" w:rsidRPr="00586907" w:rsidRDefault="0012359B" w:rsidP="00586907">
      <w:pPr>
        <w:ind w:left="8640" w:firstLine="720"/>
        <w:rPr>
          <w:rFonts w:ascii="Neue Haas Grotesk Text Pro" w:hAnsi="Neue Haas Grotesk Text Pro"/>
          <w:b/>
          <w:bCs/>
        </w:rPr>
      </w:pPr>
      <w:r w:rsidRPr="00586907">
        <w:rPr>
          <w:rFonts w:ascii="Neue Haas Grotesk Text Pro" w:hAnsi="Neue Haas Grotesk Text Pro"/>
          <w:b/>
          <w:bCs/>
        </w:rPr>
        <w:t>10 marks</w:t>
      </w:r>
    </w:p>
    <w:p w14:paraId="7C3ADC18" w14:textId="77777777" w:rsidR="00C5497C" w:rsidRPr="00586907" w:rsidRDefault="00C5497C" w:rsidP="00573D92">
      <w:pPr>
        <w:rPr>
          <w:rFonts w:ascii="Neue Haas Grotesk Text Pro" w:hAnsi="Neue Haas Grotesk Text Pro"/>
          <w:b/>
          <w:bCs/>
        </w:rPr>
        <w:sectPr w:rsidR="00C5497C" w:rsidRPr="00586907" w:rsidSect="00573D92">
          <w:headerReference w:type="default" r:id="rId7"/>
          <w:footerReference w:type="default" r:id="rId8"/>
          <w:type w:val="continuous"/>
          <w:pgSz w:w="11920" w:h="16850"/>
          <w:pgMar w:top="720" w:right="720" w:bottom="720" w:left="720" w:header="190" w:footer="452" w:gutter="0"/>
          <w:cols w:space="720"/>
          <w:docGrid w:linePitch="299"/>
        </w:sectPr>
      </w:pPr>
    </w:p>
    <w:p w14:paraId="791A8F2F" w14:textId="641BEBDF" w:rsidR="00C5497C" w:rsidRDefault="00C5497C">
      <w:pPr>
        <w:pStyle w:val="BodyText"/>
        <w:spacing w:before="2"/>
        <w:ind w:left="0"/>
        <w:rPr>
          <w:b/>
        </w:rPr>
      </w:pPr>
    </w:p>
    <w:p w14:paraId="1E34C2F3" w14:textId="69279E32" w:rsidR="00586907" w:rsidRDefault="00586907">
      <w:pPr>
        <w:pStyle w:val="BodyText"/>
        <w:spacing w:before="2"/>
        <w:ind w:left="0"/>
        <w:rPr>
          <w:b/>
        </w:rPr>
      </w:pPr>
    </w:p>
    <w:p w14:paraId="2FECCDAA" w14:textId="77777777" w:rsidR="00586907" w:rsidRDefault="00586907">
      <w:pPr>
        <w:pStyle w:val="BodyText"/>
        <w:spacing w:before="2"/>
        <w:ind w:left="0"/>
        <w:rPr>
          <w:b/>
        </w:rPr>
      </w:pPr>
    </w:p>
    <w:p w14:paraId="0AF3F1B1" w14:textId="2D4B9BC3" w:rsidR="00C5497C" w:rsidRPr="00586907" w:rsidRDefault="0012359B" w:rsidP="00586907">
      <w:pPr>
        <w:pStyle w:val="ListParagraph"/>
        <w:numPr>
          <w:ilvl w:val="0"/>
          <w:numId w:val="3"/>
        </w:numPr>
        <w:rPr>
          <w:b/>
          <w:bCs/>
        </w:rPr>
      </w:pPr>
      <w:r w:rsidRPr="00586907">
        <w:rPr>
          <w:b/>
          <w:bCs/>
        </w:rPr>
        <w:t>List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the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information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that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must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be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provided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to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all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members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and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beneficiaries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when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a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scheme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 xml:space="preserve">is </w:t>
      </w:r>
      <w:r w:rsidRPr="00586907">
        <w:rPr>
          <w:b/>
          <w:bCs/>
        </w:rPr>
        <w:t>wound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up,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including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the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timescales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in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which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the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information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must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be</w:t>
      </w:r>
      <w:r w:rsidRPr="00586907">
        <w:rPr>
          <w:b/>
          <w:bCs/>
        </w:rPr>
        <w:t xml:space="preserve"> </w:t>
      </w:r>
      <w:r w:rsidRPr="00586907">
        <w:rPr>
          <w:b/>
          <w:bCs/>
        </w:rPr>
        <w:t>provided</w:t>
      </w:r>
      <w:r w:rsidR="00586907" w:rsidRPr="00586907">
        <w:rPr>
          <w:b/>
          <w:bCs/>
        </w:rPr>
        <w:t>.</w:t>
      </w:r>
    </w:p>
    <w:p w14:paraId="4B8BD144" w14:textId="77777777" w:rsidR="00C5497C" w:rsidRPr="00586907" w:rsidRDefault="00C5497C" w:rsidP="00586907">
      <w:pPr>
        <w:ind w:left="360"/>
      </w:pPr>
    </w:p>
    <w:p w14:paraId="4DE7FFDC" w14:textId="77777777" w:rsidR="00C5497C" w:rsidRPr="00586907" w:rsidRDefault="0012359B" w:rsidP="00586907">
      <w:pPr>
        <w:ind w:left="360"/>
      </w:pPr>
      <w:r w:rsidRPr="00586907">
        <w:t>A</w:t>
      </w:r>
      <w:r w:rsidRPr="00586907">
        <w:t>nsw</w:t>
      </w:r>
      <w:r w:rsidRPr="00586907">
        <w:t>e</w:t>
      </w:r>
      <w:r w:rsidRPr="00586907">
        <w:t>r</w:t>
      </w:r>
      <w:r w:rsidRPr="00586907">
        <w:t xml:space="preserve"> </w:t>
      </w:r>
      <w:r w:rsidRPr="00586907">
        <w:t>sh</w:t>
      </w:r>
      <w:r w:rsidRPr="00586907">
        <w:t>o</w:t>
      </w:r>
      <w:r w:rsidRPr="00586907">
        <w:t>u</w:t>
      </w:r>
      <w:r w:rsidRPr="00586907">
        <w:t>ld</w:t>
      </w:r>
      <w:r w:rsidRPr="00586907">
        <w:t xml:space="preserve"> </w:t>
      </w:r>
      <w:r w:rsidRPr="00586907">
        <w:t>c</w:t>
      </w:r>
      <w:r w:rsidRPr="00586907">
        <w:t>o</w:t>
      </w:r>
      <w:r w:rsidRPr="00586907">
        <w:t>v</w:t>
      </w:r>
      <w:r w:rsidRPr="00586907">
        <w:t>e</w:t>
      </w:r>
      <w:r w:rsidRPr="00586907">
        <w:t>r</w:t>
      </w:r>
      <w:r w:rsidRPr="00586907">
        <w:t>:</w:t>
      </w:r>
    </w:p>
    <w:p w14:paraId="584F72D0" w14:textId="77777777" w:rsidR="00C5497C" w:rsidRPr="00586907" w:rsidRDefault="00C5497C" w:rsidP="00586907">
      <w:pPr>
        <w:ind w:left="360"/>
      </w:pPr>
    </w:p>
    <w:p w14:paraId="7AF471DF" w14:textId="77777777" w:rsidR="00C5497C" w:rsidRPr="00586907" w:rsidRDefault="0012359B" w:rsidP="00586907">
      <w:pPr>
        <w:ind w:left="360"/>
      </w:pPr>
      <w:r w:rsidRPr="00586907">
        <w:t>When</w:t>
      </w:r>
      <w:r w:rsidRPr="00586907">
        <w:t xml:space="preserve"> </w:t>
      </w:r>
      <w:r w:rsidRPr="00586907">
        <w:t>a</w:t>
      </w:r>
      <w:r w:rsidRPr="00586907">
        <w:t xml:space="preserve"> </w:t>
      </w:r>
      <w:r w:rsidRPr="00586907">
        <w:t>scheme</w:t>
      </w:r>
      <w:r w:rsidRPr="00586907">
        <w:t xml:space="preserve"> </w:t>
      </w:r>
      <w:r w:rsidRPr="00586907">
        <w:t>is</w:t>
      </w:r>
      <w:r w:rsidRPr="00586907">
        <w:t xml:space="preserve"> </w:t>
      </w:r>
      <w:r w:rsidRPr="00586907">
        <w:t>being</w:t>
      </w:r>
      <w:r w:rsidRPr="00586907">
        <w:t xml:space="preserve"> </w:t>
      </w:r>
      <w:r w:rsidRPr="00586907">
        <w:t>wound</w:t>
      </w:r>
      <w:r w:rsidRPr="00586907">
        <w:t xml:space="preserve"> </w:t>
      </w:r>
      <w:r w:rsidRPr="00586907">
        <w:t>up,</w:t>
      </w:r>
      <w:r w:rsidRPr="00586907">
        <w:t xml:space="preserve"> </w:t>
      </w:r>
      <w:r w:rsidRPr="00586907">
        <w:t>the</w:t>
      </w:r>
      <w:r w:rsidRPr="00586907">
        <w:t xml:space="preserve"> </w:t>
      </w:r>
      <w:r w:rsidRPr="00586907">
        <w:t>trustees</w:t>
      </w:r>
      <w:r w:rsidRPr="00586907">
        <w:t xml:space="preserve"> </w:t>
      </w:r>
      <w:r w:rsidRPr="00586907">
        <w:t>must</w:t>
      </w:r>
      <w:r w:rsidRPr="00586907">
        <w:t xml:space="preserve"> </w:t>
      </w:r>
      <w:r w:rsidRPr="00586907">
        <w:t>issue</w:t>
      </w:r>
      <w:r w:rsidRPr="00586907">
        <w:t xml:space="preserve"> </w:t>
      </w:r>
      <w:r w:rsidRPr="00586907">
        <w:t>a</w:t>
      </w:r>
      <w:r w:rsidRPr="00586907">
        <w:t xml:space="preserve"> </w:t>
      </w:r>
      <w:r w:rsidRPr="00586907">
        <w:t>notice</w:t>
      </w:r>
      <w:r w:rsidRPr="00586907">
        <w:t xml:space="preserve"> </w:t>
      </w:r>
      <w:r w:rsidRPr="00586907">
        <w:t>in</w:t>
      </w:r>
      <w:r w:rsidRPr="00586907">
        <w:t xml:space="preserve"> </w:t>
      </w:r>
      <w:r w:rsidRPr="00586907">
        <w:t>writing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inform</w:t>
      </w:r>
      <w:r w:rsidRPr="00586907">
        <w:t xml:space="preserve"> </w:t>
      </w:r>
      <w:r w:rsidRPr="00586907">
        <w:t>all members</w:t>
      </w:r>
      <w:r w:rsidRPr="00586907">
        <w:t xml:space="preserve"> </w:t>
      </w:r>
      <w:r w:rsidRPr="00586907">
        <w:t>and</w:t>
      </w:r>
      <w:r w:rsidRPr="00586907">
        <w:t xml:space="preserve"> </w:t>
      </w:r>
      <w:r w:rsidRPr="00586907">
        <w:t>beneficiaries</w:t>
      </w:r>
      <w:r w:rsidRPr="00586907">
        <w:t xml:space="preserve"> </w:t>
      </w:r>
      <w:r w:rsidRPr="00586907">
        <w:t>within</w:t>
      </w:r>
      <w:r w:rsidRPr="00586907">
        <w:t xml:space="preserve"> </w:t>
      </w:r>
      <w:r w:rsidRPr="00586907">
        <w:t>one</w:t>
      </w:r>
      <w:r w:rsidRPr="00586907">
        <w:t xml:space="preserve"> </w:t>
      </w:r>
      <w:r w:rsidRPr="00586907">
        <w:t>month</w:t>
      </w:r>
      <w:r w:rsidRPr="00586907">
        <w:t xml:space="preserve"> </w:t>
      </w:r>
      <w:r w:rsidRPr="00586907">
        <w:t>of</w:t>
      </w:r>
      <w:r w:rsidRPr="00586907">
        <w:t xml:space="preserve"> </w:t>
      </w:r>
      <w:r w:rsidRPr="00586907">
        <w:t>the</w:t>
      </w:r>
      <w:r w:rsidRPr="00586907">
        <w:t xml:space="preserve"> </w:t>
      </w:r>
      <w:r w:rsidRPr="00586907">
        <w:t>winding</w:t>
      </w:r>
      <w:r w:rsidRPr="00586907">
        <w:t xml:space="preserve"> </w:t>
      </w:r>
      <w:r w:rsidRPr="00586907">
        <w:t>up</w:t>
      </w:r>
      <w:r w:rsidRPr="00586907">
        <w:t xml:space="preserve"> </w:t>
      </w:r>
      <w:r w:rsidRPr="00586907">
        <w:t>having</w:t>
      </w:r>
      <w:r w:rsidRPr="00586907">
        <w:t xml:space="preserve"> </w:t>
      </w:r>
      <w:r w:rsidRPr="00586907">
        <w:t>commenced.</w:t>
      </w:r>
    </w:p>
    <w:p w14:paraId="0EC16FD3" w14:textId="09952220" w:rsidR="00C5497C" w:rsidRDefault="0012359B" w:rsidP="00586907">
      <w:pPr>
        <w:ind w:left="360"/>
      </w:pPr>
      <w:r w:rsidRPr="00586907">
        <w:t>In addition, this notice must:</w:t>
      </w:r>
    </w:p>
    <w:p w14:paraId="394AE70A" w14:textId="77777777" w:rsidR="00586907" w:rsidRPr="00586907" w:rsidRDefault="00586907" w:rsidP="00586907"/>
    <w:p w14:paraId="2DEBB637" w14:textId="77777777" w:rsidR="00C5497C" w:rsidRPr="00586907" w:rsidRDefault="0012359B" w:rsidP="00586907">
      <w:pPr>
        <w:pStyle w:val="ListParagraph"/>
        <w:numPr>
          <w:ilvl w:val="0"/>
          <w:numId w:val="5"/>
        </w:numPr>
      </w:pPr>
      <w:r w:rsidRPr="00586907">
        <w:t>Give</w:t>
      </w:r>
      <w:r w:rsidRPr="00586907">
        <w:t xml:space="preserve"> </w:t>
      </w:r>
      <w:r w:rsidRPr="00586907">
        <w:t>the</w:t>
      </w:r>
      <w:r w:rsidRPr="00586907">
        <w:t xml:space="preserve"> </w:t>
      </w:r>
      <w:r w:rsidRPr="00586907">
        <w:t>reasons</w:t>
      </w:r>
      <w:r w:rsidRPr="00586907">
        <w:t xml:space="preserve"> </w:t>
      </w:r>
      <w:r w:rsidRPr="00586907">
        <w:t>the</w:t>
      </w:r>
      <w:r w:rsidRPr="00586907">
        <w:t xml:space="preserve"> </w:t>
      </w:r>
      <w:r w:rsidRPr="00586907">
        <w:t>scheme</w:t>
      </w:r>
      <w:r w:rsidRPr="00586907">
        <w:t xml:space="preserve"> </w:t>
      </w:r>
      <w:r w:rsidRPr="00586907">
        <w:t>is</w:t>
      </w:r>
      <w:r w:rsidRPr="00586907">
        <w:t xml:space="preserve"> </w:t>
      </w:r>
      <w:r w:rsidRPr="00586907">
        <w:t>being</w:t>
      </w:r>
      <w:r w:rsidRPr="00586907">
        <w:t xml:space="preserve"> </w:t>
      </w:r>
      <w:r w:rsidRPr="00586907">
        <w:t>wound</w:t>
      </w:r>
      <w:r w:rsidRPr="00586907">
        <w:t xml:space="preserve"> </w:t>
      </w:r>
      <w:r w:rsidRPr="00586907">
        <w:t>up</w:t>
      </w:r>
    </w:p>
    <w:p w14:paraId="46BA172C" w14:textId="77777777" w:rsidR="00C5497C" w:rsidRPr="00586907" w:rsidRDefault="0012359B" w:rsidP="00586907">
      <w:pPr>
        <w:pStyle w:val="ListParagraph"/>
        <w:numPr>
          <w:ilvl w:val="0"/>
          <w:numId w:val="8"/>
        </w:numPr>
      </w:pPr>
      <w:r w:rsidRPr="00586907">
        <w:t>Give</w:t>
      </w:r>
      <w:r w:rsidRPr="00586907">
        <w:t xml:space="preserve"> </w:t>
      </w:r>
      <w:r w:rsidRPr="00586907">
        <w:t>a</w:t>
      </w:r>
      <w:r w:rsidRPr="00586907">
        <w:t xml:space="preserve"> </w:t>
      </w:r>
      <w:r w:rsidRPr="00586907">
        <w:t>statement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active</w:t>
      </w:r>
      <w:r w:rsidRPr="00586907">
        <w:t xml:space="preserve"> </w:t>
      </w:r>
      <w:r w:rsidRPr="00586907">
        <w:t>members</w:t>
      </w:r>
      <w:r w:rsidRPr="00586907">
        <w:t xml:space="preserve"> </w:t>
      </w:r>
      <w:r w:rsidRPr="00586907">
        <w:t>on</w:t>
      </w:r>
      <w:r w:rsidRPr="00586907">
        <w:t xml:space="preserve"> </w:t>
      </w:r>
      <w:r w:rsidRPr="00586907">
        <w:t>whether</w:t>
      </w:r>
      <w:r w:rsidRPr="00586907">
        <w:t xml:space="preserve"> </w:t>
      </w:r>
      <w:r w:rsidRPr="00586907">
        <w:t>death</w:t>
      </w:r>
      <w:r w:rsidRPr="00586907">
        <w:t xml:space="preserve"> </w:t>
      </w:r>
      <w:r w:rsidRPr="00586907">
        <w:t>benefits</w:t>
      </w:r>
      <w:r w:rsidRPr="00586907">
        <w:t xml:space="preserve"> </w:t>
      </w:r>
      <w:r w:rsidRPr="00586907">
        <w:t>will</w:t>
      </w:r>
      <w:r w:rsidRPr="00586907">
        <w:t xml:space="preserve"> </w:t>
      </w:r>
      <w:r w:rsidRPr="00586907">
        <w:t>continue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be</w:t>
      </w:r>
      <w:r w:rsidRPr="00586907">
        <w:t xml:space="preserve"> </w:t>
      </w:r>
      <w:r w:rsidRPr="00586907">
        <w:t>provided</w:t>
      </w:r>
    </w:p>
    <w:p w14:paraId="6C17DFDA" w14:textId="77777777" w:rsidR="00C5497C" w:rsidRPr="00586907" w:rsidRDefault="0012359B" w:rsidP="00586907">
      <w:pPr>
        <w:pStyle w:val="ListParagraph"/>
        <w:numPr>
          <w:ilvl w:val="0"/>
          <w:numId w:val="8"/>
        </w:numPr>
      </w:pPr>
      <w:r w:rsidRPr="00586907">
        <w:t>Inform</w:t>
      </w:r>
      <w:r w:rsidRPr="00586907">
        <w:t xml:space="preserve"> </w:t>
      </w:r>
      <w:r w:rsidRPr="00586907">
        <w:t>members</w:t>
      </w:r>
      <w:r w:rsidRPr="00586907">
        <w:t xml:space="preserve"> </w:t>
      </w:r>
      <w:r w:rsidRPr="00586907">
        <w:t>whether</w:t>
      </w:r>
      <w:r w:rsidRPr="00586907">
        <w:t xml:space="preserve"> </w:t>
      </w:r>
      <w:r w:rsidRPr="00586907">
        <w:t>an</w:t>
      </w:r>
      <w:r w:rsidRPr="00586907">
        <w:t xml:space="preserve"> </w:t>
      </w:r>
      <w:r w:rsidRPr="00586907">
        <w:t>independent</w:t>
      </w:r>
      <w:r w:rsidRPr="00586907">
        <w:t xml:space="preserve"> </w:t>
      </w:r>
      <w:r w:rsidRPr="00586907">
        <w:t>trustee</w:t>
      </w:r>
      <w:r w:rsidRPr="00586907">
        <w:t xml:space="preserve"> </w:t>
      </w:r>
      <w:r w:rsidRPr="00586907">
        <w:t>has</w:t>
      </w:r>
      <w:r w:rsidRPr="00586907">
        <w:t xml:space="preserve"> </w:t>
      </w:r>
      <w:r w:rsidRPr="00586907">
        <w:t>been</w:t>
      </w:r>
      <w:r w:rsidRPr="00586907">
        <w:t xml:space="preserve"> </w:t>
      </w:r>
      <w:r w:rsidRPr="00586907">
        <w:t>appointed</w:t>
      </w:r>
      <w:r w:rsidRPr="00586907">
        <w:t xml:space="preserve"> </w:t>
      </w:r>
      <w:r w:rsidRPr="00586907">
        <w:t>(generally</w:t>
      </w:r>
      <w:r w:rsidRPr="00586907">
        <w:t xml:space="preserve"> </w:t>
      </w:r>
      <w:r w:rsidRPr="00586907">
        <w:t>only</w:t>
      </w:r>
      <w:r w:rsidRPr="00586907">
        <w:t xml:space="preserve"> </w:t>
      </w:r>
      <w:r w:rsidRPr="00586907">
        <w:t>relevant</w:t>
      </w:r>
      <w:r w:rsidRPr="00586907">
        <w:t xml:space="preserve"> </w:t>
      </w:r>
      <w:r w:rsidRPr="00586907">
        <w:t xml:space="preserve">for </w:t>
      </w:r>
      <w:r w:rsidRPr="00586907">
        <w:t>defined benefit</w:t>
      </w:r>
      <w:r w:rsidRPr="00586907">
        <w:t xml:space="preserve"> </w:t>
      </w:r>
      <w:r w:rsidRPr="00586907">
        <w:t>schemes)</w:t>
      </w:r>
    </w:p>
    <w:p w14:paraId="6AF3AB79" w14:textId="77777777" w:rsidR="00C5497C" w:rsidRPr="00586907" w:rsidRDefault="0012359B" w:rsidP="00586907">
      <w:pPr>
        <w:pStyle w:val="ListParagraph"/>
        <w:numPr>
          <w:ilvl w:val="0"/>
          <w:numId w:val="8"/>
        </w:numPr>
      </w:pPr>
      <w:r w:rsidRPr="00586907">
        <w:t>Supply</w:t>
      </w:r>
      <w:r w:rsidRPr="00586907">
        <w:t xml:space="preserve"> </w:t>
      </w:r>
      <w:r w:rsidRPr="00586907">
        <w:t>a</w:t>
      </w:r>
      <w:r w:rsidRPr="00586907">
        <w:t xml:space="preserve"> </w:t>
      </w:r>
      <w:r w:rsidRPr="00586907">
        <w:t>name</w:t>
      </w:r>
      <w:r w:rsidRPr="00586907">
        <w:t xml:space="preserve"> </w:t>
      </w:r>
      <w:r w:rsidRPr="00586907">
        <w:t>and</w:t>
      </w:r>
      <w:r w:rsidRPr="00586907">
        <w:t xml:space="preserve"> </w:t>
      </w:r>
      <w:r w:rsidRPr="00586907">
        <w:t>address</w:t>
      </w:r>
      <w:r w:rsidRPr="00586907">
        <w:t xml:space="preserve"> </w:t>
      </w:r>
      <w:r w:rsidRPr="00586907">
        <w:t>for</w:t>
      </w:r>
      <w:r w:rsidRPr="00586907">
        <w:t xml:space="preserve"> </w:t>
      </w:r>
      <w:r w:rsidRPr="00586907">
        <w:t>further</w:t>
      </w:r>
      <w:r w:rsidRPr="00586907">
        <w:t xml:space="preserve"> </w:t>
      </w:r>
      <w:r w:rsidRPr="00586907">
        <w:t>enquires</w:t>
      </w:r>
    </w:p>
    <w:p w14:paraId="210635C6" w14:textId="77777777" w:rsidR="00C5497C" w:rsidRPr="00586907" w:rsidRDefault="00C5497C" w:rsidP="00586907"/>
    <w:p w14:paraId="0649A74D" w14:textId="098E3411" w:rsidR="00C5497C" w:rsidRDefault="0012359B" w:rsidP="00586907">
      <w:pPr>
        <w:ind w:left="360"/>
      </w:pPr>
      <w:r w:rsidRPr="00586907">
        <w:t>The</w:t>
      </w:r>
      <w:r w:rsidRPr="00586907">
        <w:t xml:space="preserve"> </w:t>
      </w:r>
      <w:r w:rsidRPr="00586907">
        <w:t>trustees</w:t>
      </w:r>
      <w:r w:rsidRPr="00586907">
        <w:t xml:space="preserve"> </w:t>
      </w:r>
      <w:r w:rsidRPr="00586907">
        <w:t>also</w:t>
      </w:r>
      <w:r w:rsidRPr="00586907">
        <w:t xml:space="preserve"> </w:t>
      </w:r>
      <w:r w:rsidRPr="00586907">
        <w:t>need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issue</w:t>
      </w:r>
      <w:r w:rsidRPr="00586907">
        <w:t xml:space="preserve"> </w:t>
      </w:r>
      <w:r w:rsidRPr="00586907">
        <w:t>a</w:t>
      </w:r>
      <w:r w:rsidRPr="00586907">
        <w:t xml:space="preserve"> </w:t>
      </w:r>
      <w:r w:rsidRPr="00586907">
        <w:t>progress</w:t>
      </w:r>
      <w:r w:rsidRPr="00586907">
        <w:t xml:space="preserve"> </w:t>
      </w:r>
      <w:r w:rsidRPr="00586907">
        <w:t>report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members</w:t>
      </w:r>
      <w:r w:rsidRPr="00586907">
        <w:t xml:space="preserve"> </w:t>
      </w:r>
      <w:r w:rsidRPr="00586907">
        <w:t>at</w:t>
      </w:r>
      <w:r w:rsidRPr="00586907">
        <w:t xml:space="preserve"> </w:t>
      </w:r>
      <w:r w:rsidRPr="00586907">
        <w:t>least</w:t>
      </w:r>
      <w:r w:rsidRPr="00586907">
        <w:t xml:space="preserve"> </w:t>
      </w:r>
      <w:r w:rsidRPr="00586907">
        <w:t>every</w:t>
      </w:r>
      <w:r w:rsidRPr="00586907">
        <w:t xml:space="preserve"> </w:t>
      </w:r>
      <w:r w:rsidRPr="00586907">
        <w:t>12</w:t>
      </w:r>
      <w:r w:rsidRPr="00586907">
        <w:t xml:space="preserve"> </w:t>
      </w:r>
      <w:r w:rsidRPr="00586907">
        <w:t>months</w:t>
      </w:r>
      <w:r w:rsidRPr="00586907">
        <w:t xml:space="preserve"> </w:t>
      </w:r>
      <w:r w:rsidRPr="00586907">
        <w:t>thereafter.</w:t>
      </w:r>
      <w:r w:rsidRPr="00586907">
        <w:t xml:space="preserve"> </w:t>
      </w:r>
      <w:r w:rsidRPr="00586907">
        <w:t xml:space="preserve">These </w:t>
      </w:r>
      <w:r w:rsidRPr="00586907">
        <w:t>s</w:t>
      </w:r>
      <w:r w:rsidRPr="00586907">
        <w:t>u</w:t>
      </w:r>
      <w:r w:rsidRPr="00586907">
        <w:t>b</w:t>
      </w:r>
      <w:r w:rsidRPr="00586907">
        <w:t>s</w:t>
      </w:r>
      <w:r w:rsidRPr="00586907">
        <w:t>e</w:t>
      </w:r>
      <w:r w:rsidRPr="00586907">
        <w:t>q</w:t>
      </w:r>
      <w:r w:rsidRPr="00586907">
        <w:t>u</w:t>
      </w:r>
      <w:r w:rsidRPr="00586907">
        <w:t>e</w:t>
      </w:r>
      <w:r w:rsidRPr="00586907">
        <w:t>nt</w:t>
      </w:r>
      <w:r w:rsidRPr="00586907">
        <w:t xml:space="preserve"> </w:t>
      </w:r>
      <w:r w:rsidRPr="00586907">
        <w:t>r</w:t>
      </w:r>
      <w:r w:rsidRPr="00586907">
        <w:t>e</w:t>
      </w:r>
      <w:r w:rsidRPr="00586907">
        <w:t>p</w:t>
      </w:r>
      <w:r w:rsidRPr="00586907">
        <w:t>o</w:t>
      </w:r>
      <w:r w:rsidRPr="00586907">
        <w:t>r</w:t>
      </w:r>
      <w:r w:rsidRPr="00586907">
        <w:t>t</w:t>
      </w:r>
      <w:r w:rsidRPr="00586907">
        <w:t>s</w:t>
      </w:r>
      <w:r w:rsidRPr="00586907">
        <w:t xml:space="preserve"> </w:t>
      </w:r>
      <w:r w:rsidRPr="00586907">
        <w:t>m</w:t>
      </w:r>
      <w:r w:rsidRPr="00586907">
        <w:t>u</w:t>
      </w:r>
      <w:r w:rsidRPr="00586907">
        <w:t>st</w:t>
      </w:r>
      <w:r w:rsidRPr="00586907">
        <w:t xml:space="preserve"> </w:t>
      </w:r>
      <w:r w:rsidRPr="00586907">
        <w:t>g</w:t>
      </w:r>
      <w:r w:rsidRPr="00586907">
        <w:t>i</w:t>
      </w:r>
      <w:r w:rsidRPr="00586907">
        <w:t>ve</w:t>
      </w:r>
      <w:r w:rsidRPr="00586907">
        <w:t xml:space="preserve"> </w:t>
      </w:r>
      <w:r w:rsidRPr="00586907">
        <w:t>d</w:t>
      </w:r>
      <w:r w:rsidRPr="00586907">
        <w:t>e</w:t>
      </w:r>
      <w:r w:rsidRPr="00586907">
        <w:t>t</w:t>
      </w:r>
      <w:r w:rsidRPr="00586907">
        <w:t>ai</w:t>
      </w:r>
      <w:r w:rsidRPr="00586907">
        <w:t>ls</w:t>
      </w:r>
      <w:r w:rsidRPr="00586907">
        <w:t xml:space="preserve"> </w:t>
      </w:r>
      <w:r w:rsidRPr="00586907">
        <w:t>o</w:t>
      </w:r>
      <w:r w:rsidRPr="00586907">
        <w:t>f</w:t>
      </w:r>
      <w:r w:rsidRPr="00586907">
        <w:t>:</w:t>
      </w:r>
    </w:p>
    <w:p w14:paraId="2F7023F4" w14:textId="77777777" w:rsidR="00586907" w:rsidRPr="00586907" w:rsidRDefault="00586907" w:rsidP="00586907"/>
    <w:p w14:paraId="52A3FB8E" w14:textId="77777777" w:rsidR="00C5497C" w:rsidRPr="00586907" w:rsidRDefault="0012359B" w:rsidP="00586907">
      <w:pPr>
        <w:pStyle w:val="ListParagraph"/>
        <w:numPr>
          <w:ilvl w:val="0"/>
          <w:numId w:val="9"/>
        </w:numPr>
      </w:pPr>
      <w:r w:rsidRPr="00586907">
        <w:t>Action</w:t>
      </w:r>
      <w:r w:rsidRPr="00586907">
        <w:t xml:space="preserve"> </w:t>
      </w:r>
      <w:r w:rsidRPr="00586907">
        <w:t>being</w:t>
      </w:r>
      <w:r w:rsidRPr="00586907">
        <w:t xml:space="preserve"> </w:t>
      </w:r>
      <w:r w:rsidRPr="00586907">
        <w:t>taken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recover</w:t>
      </w:r>
      <w:r w:rsidRPr="00586907">
        <w:t xml:space="preserve"> </w:t>
      </w:r>
      <w:r w:rsidRPr="00586907">
        <w:t>any</w:t>
      </w:r>
      <w:r w:rsidRPr="00586907">
        <w:t xml:space="preserve"> </w:t>
      </w:r>
      <w:r w:rsidRPr="00586907">
        <w:t>assets</w:t>
      </w:r>
      <w:r w:rsidRPr="00586907">
        <w:t xml:space="preserve"> </w:t>
      </w:r>
      <w:r w:rsidRPr="00586907">
        <w:t>not</w:t>
      </w:r>
      <w:r w:rsidRPr="00586907">
        <w:t xml:space="preserve"> </w:t>
      </w:r>
      <w:r w:rsidRPr="00586907">
        <w:t>immediately</w:t>
      </w:r>
      <w:r w:rsidRPr="00586907">
        <w:t xml:space="preserve"> </w:t>
      </w:r>
      <w:r w:rsidRPr="00586907">
        <w:t>available</w:t>
      </w:r>
    </w:p>
    <w:p w14:paraId="77F65478" w14:textId="77777777" w:rsidR="00C5497C" w:rsidRPr="00586907" w:rsidRDefault="0012359B" w:rsidP="00586907">
      <w:pPr>
        <w:pStyle w:val="ListParagraph"/>
        <w:numPr>
          <w:ilvl w:val="0"/>
          <w:numId w:val="9"/>
        </w:numPr>
      </w:pPr>
      <w:r w:rsidRPr="00586907">
        <w:t>The</w:t>
      </w:r>
      <w:r w:rsidRPr="00586907">
        <w:t xml:space="preserve"> </w:t>
      </w:r>
      <w:r w:rsidRPr="00586907">
        <w:t>estimated</w:t>
      </w:r>
      <w:r w:rsidRPr="00586907">
        <w:t xml:space="preserve"> </w:t>
      </w:r>
      <w:r w:rsidRPr="00586907">
        <w:t>date</w:t>
      </w:r>
      <w:r w:rsidRPr="00586907">
        <w:t xml:space="preserve"> </w:t>
      </w:r>
      <w:r w:rsidRPr="00586907">
        <w:t>when</w:t>
      </w:r>
      <w:r w:rsidRPr="00586907">
        <w:t xml:space="preserve"> </w:t>
      </w:r>
      <w:r w:rsidRPr="00586907">
        <w:t>final</w:t>
      </w:r>
      <w:r w:rsidRPr="00586907">
        <w:t xml:space="preserve"> </w:t>
      </w:r>
      <w:r w:rsidRPr="00586907">
        <w:t>details</w:t>
      </w:r>
      <w:r w:rsidRPr="00586907">
        <w:t xml:space="preserve"> </w:t>
      </w:r>
      <w:r w:rsidRPr="00586907">
        <w:t>of</w:t>
      </w:r>
      <w:r w:rsidRPr="00586907">
        <w:t xml:space="preserve"> </w:t>
      </w:r>
      <w:r w:rsidRPr="00586907">
        <w:t>members’</w:t>
      </w:r>
      <w:r w:rsidRPr="00586907">
        <w:t xml:space="preserve"> </w:t>
      </w:r>
      <w:r w:rsidRPr="00586907">
        <w:t>benefits</w:t>
      </w:r>
      <w:r w:rsidRPr="00586907">
        <w:t xml:space="preserve"> </w:t>
      </w:r>
      <w:r w:rsidRPr="00586907">
        <w:t>are</w:t>
      </w:r>
      <w:r w:rsidRPr="00586907">
        <w:t xml:space="preserve"> </w:t>
      </w:r>
      <w:r w:rsidRPr="00586907">
        <w:t>likely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be</w:t>
      </w:r>
      <w:r w:rsidRPr="00586907">
        <w:t xml:space="preserve"> </w:t>
      </w:r>
      <w:r w:rsidRPr="00586907">
        <w:t>known,</w:t>
      </w:r>
      <w:r w:rsidRPr="00586907">
        <w:t xml:space="preserve"> </w:t>
      </w:r>
      <w:r w:rsidRPr="00586907">
        <w:t>and</w:t>
      </w:r>
    </w:p>
    <w:p w14:paraId="44C7818D" w14:textId="32934070" w:rsidR="00C5497C" w:rsidRPr="00586907" w:rsidRDefault="0012359B" w:rsidP="00586907">
      <w:pPr>
        <w:pStyle w:val="ListParagraph"/>
        <w:numPr>
          <w:ilvl w:val="0"/>
          <w:numId w:val="9"/>
        </w:numPr>
      </w:pPr>
      <w:r w:rsidRPr="00586907">
        <w:t>The</w:t>
      </w:r>
      <w:r w:rsidRPr="00586907">
        <w:t xml:space="preserve"> </w:t>
      </w:r>
      <w:r w:rsidRPr="00586907">
        <w:t>extent</w:t>
      </w:r>
      <w:r w:rsidRPr="00586907">
        <w:t xml:space="preserve"> </w:t>
      </w:r>
      <w:r w:rsidRPr="00586907">
        <w:t>(if</w:t>
      </w:r>
      <w:r w:rsidRPr="00586907">
        <w:t xml:space="preserve"> </w:t>
      </w:r>
      <w:r w:rsidRPr="00586907">
        <w:t>any)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which</w:t>
      </w:r>
      <w:r w:rsidRPr="00586907">
        <w:t xml:space="preserve"> </w:t>
      </w:r>
      <w:r w:rsidRPr="00586907">
        <w:t>the</w:t>
      </w:r>
      <w:r w:rsidRPr="00586907">
        <w:t xml:space="preserve"> </w:t>
      </w:r>
      <w:r w:rsidRPr="00586907">
        <w:t>value</w:t>
      </w:r>
      <w:r w:rsidRPr="00586907">
        <w:t xml:space="preserve"> </w:t>
      </w:r>
      <w:r w:rsidRPr="00586907">
        <w:t>of</w:t>
      </w:r>
      <w:r w:rsidRPr="00586907">
        <w:t xml:space="preserve"> </w:t>
      </w:r>
      <w:r w:rsidRPr="00586907">
        <w:t>the</w:t>
      </w:r>
      <w:r w:rsidRPr="00586907">
        <w:t xml:space="preserve"> </w:t>
      </w:r>
      <w:r w:rsidRPr="00586907">
        <w:t>member’s</w:t>
      </w:r>
      <w:r w:rsidRPr="00586907">
        <w:t xml:space="preserve"> </w:t>
      </w:r>
      <w:r w:rsidRPr="00586907">
        <w:t>benefits</w:t>
      </w:r>
      <w:r w:rsidRPr="00586907">
        <w:t xml:space="preserve"> </w:t>
      </w:r>
      <w:r w:rsidRPr="00586907">
        <w:t>is</w:t>
      </w:r>
      <w:r w:rsidRPr="00586907">
        <w:t xml:space="preserve"> </w:t>
      </w:r>
      <w:r w:rsidRPr="00586907">
        <w:t>likely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be</w:t>
      </w:r>
      <w:r w:rsidRPr="00586907">
        <w:t xml:space="preserve"> </w:t>
      </w:r>
      <w:r w:rsidRPr="00586907">
        <w:t>reduced</w:t>
      </w:r>
      <w:r w:rsidRPr="00586907">
        <w:t xml:space="preserve"> </w:t>
      </w:r>
      <w:r w:rsidRPr="00586907">
        <w:t>(unlikely</w:t>
      </w:r>
      <w:r w:rsidRPr="00586907">
        <w:t xml:space="preserve"> </w:t>
      </w:r>
      <w:r w:rsidRPr="00586907">
        <w:t>to</w:t>
      </w:r>
      <w:r w:rsidRPr="00586907">
        <w:t xml:space="preserve"> </w:t>
      </w:r>
      <w:r w:rsidRPr="00586907">
        <w:t>be</w:t>
      </w:r>
      <w:r w:rsidR="00586907">
        <w:t xml:space="preserve"> </w:t>
      </w:r>
      <w:r w:rsidRPr="00586907">
        <w:t>relevant for DC schemes)</w:t>
      </w:r>
    </w:p>
    <w:p w14:paraId="34C1E0AE" w14:textId="77777777" w:rsidR="00C5497C" w:rsidRPr="00586907" w:rsidRDefault="00C5497C" w:rsidP="00586907"/>
    <w:p w14:paraId="6C1C92DC" w14:textId="77777777" w:rsidR="00C5497C" w:rsidRPr="00586907" w:rsidRDefault="0012359B" w:rsidP="00586907">
      <w:pPr>
        <w:ind w:left="9360"/>
        <w:rPr>
          <w:rFonts w:ascii="Neue Haas Grotesk Text Pro" w:hAnsi="Neue Haas Grotesk Text Pro"/>
          <w:b/>
          <w:bCs/>
        </w:rPr>
      </w:pPr>
      <w:r w:rsidRPr="00586907">
        <w:rPr>
          <w:rFonts w:ascii="Neue Haas Grotesk Text Pro" w:hAnsi="Neue Haas Grotesk Text Pro"/>
          <w:b/>
          <w:bCs/>
        </w:rPr>
        <w:t>10 marks</w:t>
      </w:r>
    </w:p>
    <w:p w14:paraId="1F3AFB3C" w14:textId="77777777" w:rsidR="00C5497C" w:rsidRDefault="00C5497C">
      <w:pPr>
        <w:pStyle w:val="BodyText"/>
        <w:spacing w:before="6"/>
        <w:ind w:left="0"/>
        <w:rPr>
          <w:b/>
          <w:sz w:val="19"/>
        </w:rPr>
      </w:pPr>
    </w:p>
    <w:p w14:paraId="34C4E345" w14:textId="08E95CBF" w:rsidR="00C5497C" w:rsidRPr="00586907" w:rsidRDefault="0012359B" w:rsidP="00586907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586907">
        <w:rPr>
          <w:rFonts w:ascii="Neue Haas Grotesk Text Pro" w:hAnsi="Neue Haas Grotesk Text Pro"/>
          <w:b/>
          <w:bCs/>
        </w:rPr>
        <w:t>Explain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the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tax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treatment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of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overseas</w:t>
      </w:r>
      <w:r w:rsidRPr="00586907">
        <w:rPr>
          <w:rFonts w:ascii="Neue Haas Grotesk Text Pro" w:hAnsi="Neue Haas Grotesk Text Pro"/>
          <w:b/>
          <w:bCs/>
        </w:rPr>
        <w:t xml:space="preserve"> </w:t>
      </w:r>
      <w:r w:rsidRPr="00586907">
        <w:rPr>
          <w:rFonts w:ascii="Neue Haas Grotesk Text Pro" w:hAnsi="Neue Haas Grotesk Text Pro"/>
          <w:b/>
          <w:bCs/>
        </w:rPr>
        <w:t>pensioners</w:t>
      </w:r>
      <w:r w:rsidR="00586907" w:rsidRPr="00586907">
        <w:rPr>
          <w:rFonts w:ascii="Neue Haas Grotesk Text Pro" w:hAnsi="Neue Haas Grotesk Text Pro"/>
          <w:b/>
          <w:bCs/>
        </w:rPr>
        <w:t>.</w:t>
      </w:r>
    </w:p>
    <w:p w14:paraId="004FA9EF" w14:textId="77777777" w:rsidR="00C5497C" w:rsidRPr="00586907" w:rsidRDefault="00C5497C" w:rsidP="00586907">
      <w:pPr>
        <w:rPr>
          <w:rFonts w:ascii="Neue Haas Grotesk Text Pro" w:hAnsi="Neue Haas Grotesk Text Pro"/>
        </w:rPr>
      </w:pPr>
    </w:p>
    <w:p w14:paraId="0B36DD77" w14:textId="77777777" w:rsidR="00C5497C" w:rsidRPr="00586907" w:rsidRDefault="0012359B" w:rsidP="00586907">
      <w:pPr>
        <w:ind w:left="360"/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>nsw</w:t>
      </w:r>
      <w:r w:rsidRPr="00586907">
        <w:rPr>
          <w:rFonts w:ascii="Neue Haas Grotesk Text Pro" w:hAnsi="Neue Haas Grotesk Text Pro"/>
        </w:rPr>
        <w:t>e</w:t>
      </w:r>
      <w:r w:rsidRPr="00586907">
        <w:rPr>
          <w:rFonts w:ascii="Neue Haas Grotesk Text Pro" w:hAnsi="Neue Haas Grotesk Text Pro"/>
        </w:rPr>
        <w:t>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sh</w:t>
      </w:r>
      <w:r w:rsidRPr="00586907">
        <w:rPr>
          <w:rFonts w:ascii="Neue Haas Grotesk Text Pro" w:hAnsi="Neue Haas Grotesk Text Pro"/>
        </w:rPr>
        <w:t>o</w:t>
      </w:r>
      <w:r w:rsidRPr="00586907">
        <w:rPr>
          <w:rFonts w:ascii="Neue Haas Grotesk Text Pro" w:hAnsi="Neue Haas Grotesk Text Pro"/>
        </w:rPr>
        <w:t>u</w:t>
      </w:r>
      <w:r w:rsidRPr="00586907">
        <w:rPr>
          <w:rFonts w:ascii="Neue Haas Grotesk Text Pro" w:hAnsi="Neue Haas Grotesk Text Pro"/>
        </w:rPr>
        <w:t>ld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</w:t>
      </w:r>
      <w:r w:rsidRPr="00586907">
        <w:rPr>
          <w:rFonts w:ascii="Neue Haas Grotesk Text Pro" w:hAnsi="Neue Haas Grotesk Text Pro"/>
        </w:rPr>
        <w:t>o</w:t>
      </w:r>
      <w:r w:rsidRPr="00586907">
        <w:rPr>
          <w:rFonts w:ascii="Neue Haas Grotesk Text Pro" w:hAnsi="Neue Haas Grotesk Text Pro"/>
        </w:rPr>
        <w:t>v</w:t>
      </w:r>
      <w:r w:rsidRPr="00586907">
        <w:rPr>
          <w:rFonts w:ascii="Neue Haas Grotesk Text Pro" w:hAnsi="Neue Haas Grotesk Text Pro"/>
        </w:rPr>
        <w:t>e</w:t>
      </w:r>
      <w:r w:rsidRPr="00586907">
        <w:rPr>
          <w:rFonts w:ascii="Neue Haas Grotesk Text Pro" w:hAnsi="Neue Haas Grotesk Text Pro"/>
        </w:rPr>
        <w:t>r</w:t>
      </w:r>
      <w:r w:rsidRPr="00586907">
        <w:rPr>
          <w:rFonts w:ascii="Neue Haas Grotesk Text Pro" w:hAnsi="Neue Haas Grotesk Text Pro"/>
        </w:rPr>
        <w:t>:</w:t>
      </w:r>
    </w:p>
    <w:p w14:paraId="52DAD514" w14:textId="77777777" w:rsidR="00C5497C" w:rsidRPr="00586907" w:rsidRDefault="00C5497C" w:rsidP="00586907">
      <w:pPr>
        <w:ind w:left="360"/>
        <w:rPr>
          <w:rFonts w:ascii="Neue Haas Grotesk Text Pro" w:hAnsi="Neue Haas Grotesk Text Pro"/>
        </w:rPr>
      </w:pPr>
    </w:p>
    <w:p w14:paraId="302D46FC" w14:textId="77777777" w:rsidR="00C5497C" w:rsidRPr="00586907" w:rsidRDefault="0012359B" w:rsidP="00586907">
      <w:pPr>
        <w:ind w:left="360"/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When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individual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resident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overseas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retires,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any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enhancements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LTA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result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periods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proofErr w:type="gramStart"/>
      <w:r w:rsidRPr="00586907">
        <w:rPr>
          <w:rFonts w:ascii="Neue Haas Grotesk Text Pro" w:hAnsi="Neue Haas Grotesk Text Pro"/>
        </w:rPr>
        <w:t xml:space="preserve">non </w:t>
      </w:r>
      <w:r w:rsidRPr="00586907">
        <w:rPr>
          <w:rFonts w:ascii="Neue Haas Grotesk Text Pro" w:hAnsi="Neue Haas Grotesk Text Pro"/>
        </w:rPr>
        <w:t>UK</w:t>
      </w:r>
      <w:proofErr w:type="gramEnd"/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residency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must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taken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account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when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testing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benefits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against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their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available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LTA.</w:t>
      </w:r>
    </w:p>
    <w:p w14:paraId="5408FD39" w14:textId="77777777" w:rsidR="00C5497C" w:rsidRPr="00586907" w:rsidRDefault="00C5497C" w:rsidP="00586907">
      <w:pPr>
        <w:ind w:left="360"/>
        <w:rPr>
          <w:rFonts w:ascii="Neue Haas Grotesk Text Pro" w:hAnsi="Neue Haas Grotesk Text Pro"/>
        </w:rPr>
      </w:pPr>
    </w:p>
    <w:p w14:paraId="77E75F14" w14:textId="77777777" w:rsidR="00C5497C" w:rsidRPr="00586907" w:rsidRDefault="0012359B" w:rsidP="00586907">
      <w:pPr>
        <w:ind w:left="360"/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Following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retirement,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scheme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need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provide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member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with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statement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percentage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 xml:space="preserve">of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standard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LTA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that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has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been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used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up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under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scheme,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within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three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months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annually thereafter,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until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member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reaches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age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75.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Lifetime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Allowance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charge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payable,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 xml:space="preserve">Scheme </w:t>
      </w:r>
      <w:r w:rsidRPr="00586907">
        <w:rPr>
          <w:rFonts w:ascii="Neue Haas Grotesk Text Pro" w:hAnsi="Neue Haas Grotesk Text Pro"/>
        </w:rPr>
        <w:t>Administrator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will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also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need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provide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details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chargeable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amount,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how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was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calculated,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what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 xml:space="preserve">the </w:t>
      </w:r>
      <w:r w:rsidRPr="00586907">
        <w:rPr>
          <w:rFonts w:ascii="Neue Haas Grotesk Text Pro" w:hAnsi="Neue Haas Grotesk Text Pro"/>
        </w:rPr>
        <w:t>tax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charge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was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whether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has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been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paid.</w:t>
      </w:r>
    </w:p>
    <w:p w14:paraId="02376746" w14:textId="77777777" w:rsidR="00C5497C" w:rsidRPr="00586907" w:rsidRDefault="00C5497C" w:rsidP="00586907">
      <w:pPr>
        <w:ind w:left="360"/>
        <w:rPr>
          <w:rFonts w:ascii="Neue Haas Grotesk Text Pro" w:hAnsi="Neue Haas Grotesk Text Pro"/>
        </w:rPr>
      </w:pPr>
    </w:p>
    <w:p w14:paraId="22819637" w14:textId="77777777" w:rsidR="00C5497C" w:rsidRPr="00586907" w:rsidRDefault="0012359B" w:rsidP="00586907">
      <w:pPr>
        <w:ind w:left="360"/>
        <w:rPr>
          <w:rFonts w:ascii="Neue Haas Grotesk Text Pro" w:hAnsi="Neue Haas Grotesk Text Pro"/>
        </w:rPr>
      </w:pPr>
      <w:r w:rsidRPr="00586907">
        <w:rPr>
          <w:rFonts w:ascii="Neue Haas Grotesk Text Pro" w:hAnsi="Neue Haas Grotesk Text Pro"/>
        </w:rPr>
        <w:t>In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most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cases,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payment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of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to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foreign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country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permitted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Double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Taxation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 xml:space="preserve">Agreements </w:t>
      </w:r>
      <w:r w:rsidRPr="00586907">
        <w:rPr>
          <w:rFonts w:ascii="Neue Haas Grotesk Text Pro" w:hAnsi="Neue Haas Grotesk Text Pro"/>
        </w:rPr>
        <w:t xml:space="preserve">(DTAs) ensure that pensions are not taxed twice. There are DTAs between most </w:t>
      </w:r>
      <w:proofErr w:type="spellStart"/>
      <w:r w:rsidRPr="00586907">
        <w:rPr>
          <w:rFonts w:ascii="Neue Haas Grotesk Text Pro" w:hAnsi="Neue Haas Grotesk Text Pro"/>
        </w:rPr>
        <w:t>industrialised</w:t>
      </w:r>
      <w:proofErr w:type="spellEnd"/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countries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covering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salaries,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dividends,</w:t>
      </w:r>
      <w:r w:rsidRPr="00586907">
        <w:rPr>
          <w:rFonts w:ascii="Neue Haas Grotesk Text Pro" w:hAnsi="Neue Haas Grotesk Text Pro"/>
        </w:rPr>
        <w:t xml:space="preserve"> </w:t>
      </w:r>
      <w:proofErr w:type="gramStart"/>
      <w:r w:rsidRPr="00586907">
        <w:rPr>
          <w:rFonts w:ascii="Neue Haas Grotesk Text Pro" w:hAnsi="Neue Haas Grotesk Text Pro"/>
        </w:rPr>
        <w:t>royalties</w:t>
      </w:r>
      <w:proofErr w:type="gramEnd"/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other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payments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including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pensions.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most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 xml:space="preserve">cases, </w:t>
      </w:r>
      <w:r w:rsidRPr="00586907">
        <w:rPr>
          <w:rFonts w:ascii="Neue Haas Grotesk Text Pro" w:hAnsi="Neue Haas Grotesk Text Pro"/>
        </w:rPr>
        <w:t>but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not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all,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pension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paid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gross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from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country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where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scheme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located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and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taxable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in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the country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where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it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is</w:t>
      </w:r>
      <w:r w:rsidRPr="00586907">
        <w:rPr>
          <w:rFonts w:ascii="Neue Haas Grotesk Text Pro" w:hAnsi="Neue Haas Grotesk Text Pro"/>
        </w:rPr>
        <w:t xml:space="preserve"> </w:t>
      </w:r>
      <w:r w:rsidRPr="00586907">
        <w:rPr>
          <w:rFonts w:ascii="Neue Haas Grotesk Text Pro" w:hAnsi="Neue Haas Grotesk Text Pro"/>
        </w:rPr>
        <w:t>received</w:t>
      </w:r>
    </w:p>
    <w:p w14:paraId="606C6EC8" w14:textId="77777777" w:rsidR="00C5497C" w:rsidRPr="00586907" w:rsidRDefault="00C5497C" w:rsidP="00586907">
      <w:pPr>
        <w:rPr>
          <w:rFonts w:ascii="Neue Haas Grotesk Text Pro" w:hAnsi="Neue Haas Grotesk Text Pro"/>
        </w:rPr>
      </w:pPr>
    </w:p>
    <w:p w14:paraId="698FFB7E" w14:textId="06275E92" w:rsidR="00C5497C" w:rsidRDefault="0012359B" w:rsidP="00586907">
      <w:pPr>
        <w:ind w:left="8640" w:firstLine="720"/>
        <w:rPr>
          <w:rFonts w:ascii="Neue Haas Grotesk Text Pro" w:hAnsi="Neue Haas Grotesk Text Pro"/>
          <w:b/>
          <w:bCs/>
        </w:rPr>
      </w:pPr>
      <w:r w:rsidRPr="00586907">
        <w:rPr>
          <w:rFonts w:ascii="Neue Haas Grotesk Text Pro" w:hAnsi="Neue Haas Grotesk Text Pro"/>
          <w:b/>
          <w:bCs/>
        </w:rPr>
        <w:t>10 marks</w:t>
      </w:r>
    </w:p>
    <w:p w14:paraId="2F63AADB" w14:textId="1D9E66A8" w:rsidR="006D1E0D" w:rsidRDefault="006D1E0D" w:rsidP="00586907">
      <w:pPr>
        <w:ind w:left="8640" w:firstLine="720"/>
        <w:rPr>
          <w:rFonts w:ascii="Neue Haas Grotesk Text Pro" w:hAnsi="Neue Haas Grotesk Text Pro"/>
          <w:b/>
          <w:bCs/>
        </w:rPr>
      </w:pPr>
    </w:p>
    <w:p w14:paraId="60D4FF5D" w14:textId="665585CC" w:rsidR="006D1E0D" w:rsidRDefault="006D1E0D" w:rsidP="00586907">
      <w:pPr>
        <w:ind w:left="8640" w:firstLine="720"/>
        <w:rPr>
          <w:rFonts w:ascii="Neue Haas Grotesk Text Pro" w:hAnsi="Neue Haas Grotesk Text Pro"/>
          <w:b/>
          <w:bCs/>
        </w:rPr>
      </w:pPr>
    </w:p>
    <w:p w14:paraId="53AFFC25" w14:textId="158B3253" w:rsidR="00C5497C" w:rsidRDefault="00C5497C" w:rsidP="00586907">
      <w:pPr>
        <w:rPr>
          <w:rFonts w:ascii="Neue Haas Grotesk Text Pro" w:hAnsi="Neue Haas Grotesk Text Pro"/>
        </w:rPr>
      </w:pPr>
    </w:p>
    <w:p w14:paraId="18164FF4" w14:textId="2B060727" w:rsidR="006D1E0D" w:rsidRDefault="006D1E0D" w:rsidP="00586907">
      <w:pPr>
        <w:rPr>
          <w:rFonts w:ascii="Neue Haas Grotesk Text Pro" w:hAnsi="Neue Haas Grotesk Text Pro"/>
        </w:rPr>
      </w:pPr>
    </w:p>
    <w:p w14:paraId="214D2FE6" w14:textId="29333E08" w:rsidR="006D1E0D" w:rsidRDefault="006D1E0D" w:rsidP="00586907">
      <w:pPr>
        <w:rPr>
          <w:rFonts w:ascii="Neue Haas Grotesk Text Pro" w:hAnsi="Neue Haas Grotesk Text Pro"/>
        </w:rPr>
      </w:pPr>
    </w:p>
    <w:p w14:paraId="2DDF8A94" w14:textId="77777777" w:rsidR="006D1E0D" w:rsidRPr="00586907" w:rsidRDefault="006D1E0D" w:rsidP="00586907">
      <w:pPr>
        <w:rPr>
          <w:rFonts w:ascii="Neue Haas Grotesk Text Pro" w:hAnsi="Neue Haas Grotesk Text Pro"/>
        </w:rPr>
      </w:pPr>
    </w:p>
    <w:p w14:paraId="2168FC72" w14:textId="052F103C" w:rsidR="00C5497C" w:rsidRPr="006D1E0D" w:rsidRDefault="0012359B" w:rsidP="006D1E0D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b/>
          <w:bCs/>
        </w:rPr>
      </w:pPr>
      <w:r w:rsidRPr="006D1E0D">
        <w:rPr>
          <w:rFonts w:ascii="Neue Haas Grotesk Text Pro" w:hAnsi="Neue Haas Grotesk Text Pro"/>
          <w:b/>
          <w:bCs/>
        </w:rPr>
        <w:t>List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the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main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changes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to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the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Code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of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Good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Practice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on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Combatting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Pension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Scams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made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 xml:space="preserve">in </w:t>
      </w:r>
      <w:r w:rsidRPr="006D1E0D">
        <w:rPr>
          <w:rFonts w:ascii="Neue Haas Grotesk Text Pro" w:hAnsi="Neue Haas Grotesk Text Pro"/>
          <w:b/>
          <w:bCs/>
        </w:rPr>
        <w:t>June</w:t>
      </w:r>
      <w:r w:rsidRPr="006D1E0D">
        <w:rPr>
          <w:rFonts w:ascii="Neue Haas Grotesk Text Pro" w:hAnsi="Neue Haas Grotesk Text Pro"/>
          <w:b/>
          <w:bCs/>
        </w:rPr>
        <w:t xml:space="preserve"> </w:t>
      </w:r>
      <w:r w:rsidRPr="006D1E0D">
        <w:rPr>
          <w:rFonts w:ascii="Neue Haas Grotesk Text Pro" w:hAnsi="Neue Haas Grotesk Text Pro"/>
          <w:b/>
          <w:bCs/>
        </w:rPr>
        <w:t>2019</w:t>
      </w:r>
      <w:r w:rsidR="006D1E0D" w:rsidRPr="006D1E0D">
        <w:rPr>
          <w:rFonts w:ascii="Neue Haas Grotesk Text Pro" w:hAnsi="Neue Haas Grotesk Text Pro"/>
          <w:b/>
          <w:bCs/>
        </w:rPr>
        <w:t>.</w:t>
      </w:r>
    </w:p>
    <w:p w14:paraId="53A9758F" w14:textId="77777777" w:rsidR="00C5497C" w:rsidRPr="006D1E0D" w:rsidRDefault="00C5497C" w:rsidP="006D1E0D"/>
    <w:p w14:paraId="270FC81E" w14:textId="77777777" w:rsidR="00C5497C" w:rsidRPr="006D1E0D" w:rsidRDefault="0012359B" w:rsidP="006D1E0D">
      <w:pPr>
        <w:ind w:left="360"/>
      </w:pPr>
      <w:r w:rsidRPr="006D1E0D">
        <w:t>A</w:t>
      </w:r>
      <w:r w:rsidRPr="006D1E0D">
        <w:t>nsw</w:t>
      </w:r>
      <w:r w:rsidRPr="006D1E0D">
        <w:t>e</w:t>
      </w:r>
      <w:r w:rsidRPr="006D1E0D">
        <w:t>r</w:t>
      </w:r>
      <w:r w:rsidRPr="006D1E0D">
        <w:t xml:space="preserve"> </w:t>
      </w:r>
      <w:r w:rsidRPr="006D1E0D">
        <w:t>sh</w:t>
      </w:r>
      <w:r w:rsidRPr="006D1E0D">
        <w:t>o</w:t>
      </w:r>
      <w:r w:rsidRPr="006D1E0D">
        <w:t>u</w:t>
      </w:r>
      <w:r w:rsidRPr="006D1E0D">
        <w:t>ld</w:t>
      </w:r>
      <w:r w:rsidRPr="006D1E0D">
        <w:t xml:space="preserve"> </w:t>
      </w:r>
      <w:r w:rsidRPr="006D1E0D">
        <w:t>c</w:t>
      </w:r>
      <w:r w:rsidRPr="006D1E0D">
        <w:t>o</w:t>
      </w:r>
      <w:r w:rsidRPr="006D1E0D">
        <w:t>v</w:t>
      </w:r>
      <w:r w:rsidRPr="006D1E0D">
        <w:t>e</w:t>
      </w:r>
      <w:r w:rsidRPr="006D1E0D">
        <w:t>r</w:t>
      </w:r>
      <w:r w:rsidRPr="006D1E0D">
        <w:t>:</w:t>
      </w:r>
    </w:p>
    <w:p w14:paraId="237CE038" w14:textId="77777777" w:rsidR="00C5497C" w:rsidRPr="006D1E0D" w:rsidRDefault="00C5497C" w:rsidP="006D1E0D">
      <w:pPr>
        <w:ind w:left="360"/>
      </w:pPr>
    </w:p>
    <w:p w14:paraId="08B29C77" w14:textId="77777777" w:rsidR="00C5497C" w:rsidRPr="006D1E0D" w:rsidRDefault="0012359B" w:rsidP="006D1E0D">
      <w:pPr>
        <w:pStyle w:val="ListParagraph"/>
        <w:numPr>
          <w:ilvl w:val="0"/>
          <w:numId w:val="10"/>
        </w:numPr>
      </w:pPr>
      <w:r w:rsidRPr="006D1E0D">
        <w:t>The main changes to the Code from the previous version (2.0) are:</w:t>
      </w:r>
    </w:p>
    <w:p w14:paraId="472925B8" w14:textId="77777777" w:rsidR="00C5497C" w:rsidRPr="006D1E0D" w:rsidRDefault="0012359B" w:rsidP="006D1E0D">
      <w:pPr>
        <w:pStyle w:val="ListParagraph"/>
        <w:numPr>
          <w:ilvl w:val="0"/>
          <w:numId w:val="10"/>
        </w:numPr>
      </w:pPr>
      <w:r w:rsidRPr="006D1E0D">
        <w:t>The Cold Calling</w:t>
      </w:r>
      <w:r w:rsidRPr="006D1E0D">
        <w:t xml:space="preserve"> </w:t>
      </w:r>
      <w:proofErr w:type="gramStart"/>
      <w:r w:rsidRPr="006D1E0D">
        <w:t>ban</w:t>
      </w:r>
      <w:proofErr w:type="gramEnd"/>
    </w:p>
    <w:p w14:paraId="1098EF4B" w14:textId="77777777" w:rsidR="00C5497C" w:rsidRPr="006D1E0D" w:rsidRDefault="0012359B" w:rsidP="006D1E0D">
      <w:pPr>
        <w:pStyle w:val="ListParagraph"/>
        <w:numPr>
          <w:ilvl w:val="0"/>
          <w:numId w:val="10"/>
        </w:numPr>
      </w:pPr>
      <w:r w:rsidRPr="006D1E0D">
        <w:t>Revised</w:t>
      </w:r>
      <w:r w:rsidRPr="006D1E0D">
        <w:t xml:space="preserve"> </w:t>
      </w:r>
      <w:r w:rsidRPr="006D1E0D">
        <w:t>Action</w:t>
      </w:r>
      <w:r w:rsidRPr="006D1E0D">
        <w:t xml:space="preserve"> </w:t>
      </w:r>
      <w:r w:rsidRPr="006D1E0D">
        <w:t>Fraud</w:t>
      </w:r>
      <w:r w:rsidRPr="006D1E0D">
        <w:t xml:space="preserve"> </w:t>
      </w:r>
      <w:r w:rsidRPr="006D1E0D">
        <w:t>reporting</w:t>
      </w:r>
      <w:r w:rsidRPr="006D1E0D">
        <w:t xml:space="preserve"> </w:t>
      </w:r>
      <w:r w:rsidRPr="006D1E0D">
        <w:t>guidance</w:t>
      </w:r>
    </w:p>
    <w:p w14:paraId="5620D5DA" w14:textId="77777777" w:rsidR="00C5497C" w:rsidRPr="006D1E0D" w:rsidRDefault="0012359B" w:rsidP="006D1E0D">
      <w:pPr>
        <w:pStyle w:val="ListParagraph"/>
        <w:numPr>
          <w:ilvl w:val="0"/>
          <w:numId w:val="10"/>
        </w:numPr>
      </w:pPr>
      <w:r w:rsidRPr="006D1E0D">
        <w:t>TPR/FCA</w:t>
      </w:r>
      <w:r w:rsidRPr="006D1E0D">
        <w:t xml:space="preserve"> </w:t>
      </w:r>
      <w:proofErr w:type="spellStart"/>
      <w:r w:rsidRPr="006D1E0D">
        <w:t>ScamSmart</w:t>
      </w:r>
      <w:proofErr w:type="spellEnd"/>
      <w:r w:rsidRPr="006D1E0D">
        <w:t xml:space="preserve"> </w:t>
      </w:r>
      <w:r w:rsidRPr="006D1E0D">
        <w:t>campaign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TPR</w:t>
      </w:r>
      <w:r w:rsidRPr="006D1E0D">
        <w:t xml:space="preserve"> </w:t>
      </w:r>
      <w:r w:rsidRPr="006D1E0D">
        <w:t>Threat</w:t>
      </w:r>
      <w:r w:rsidRPr="006D1E0D">
        <w:t xml:space="preserve"> </w:t>
      </w:r>
      <w:r w:rsidRPr="006D1E0D">
        <w:t>Assessment</w:t>
      </w:r>
      <w:r w:rsidRPr="006D1E0D">
        <w:t xml:space="preserve"> </w:t>
      </w:r>
      <w:r w:rsidRPr="006D1E0D">
        <w:t>update</w:t>
      </w:r>
    </w:p>
    <w:p w14:paraId="44B90295" w14:textId="77777777" w:rsidR="00C5497C" w:rsidRPr="006D1E0D" w:rsidRDefault="0012359B" w:rsidP="006D1E0D">
      <w:pPr>
        <w:pStyle w:val="ListParagraph"/>
        <w:numPr>
          <w:ilvl w:val="0"/>
          <w:numId w:val="10"/>
        </w:numPr>
      </w:pPr>
      <w:r w:rsidRPr="006D1E0D">
        <w:t>The</w:t>
      </w:r>
      <w:r w:rsidRPr="006D1E0D">
        <w:t xml:space="preserve"> </w:t>
      </w:r>
      <w:r w:rsidRPr="006D1E0D">
        <w:t>Pension</w:t>
      </w:r>
      <w:r w:rsidRPr="006D1E0D">
        <w:t xml:space="preserve"> </w:t>
      </w:r>
      <w:r w:rsidRPr="006D1E0D">
        <w:t>Ombudsman</w:t>
      </w:r>
      <w:r w:rsidRPr="006D1E0D">
        <w:t xml:space="preserve"> </w:t>
      </w:r>
      <w:r w:rsidRPr="006D1E0D">
        <w:t>(TPO)</w:t>
      </w:r>
    </w:p>
    <w:p w14:paraId="70DB07D2" w14:textId="77777777" w:rsidR="006D1E0D" w:rsidRDefault="0012359B" w:rsidP="006D1E0D">
      <w:pPr>
        <w:pStyle w:val="ListParagraph"/>
        <w:numPr>
          <w:ilvl w:val="0"/>
          <w:numId w:val="10"/>
        </w:numPr>
      </w:pPr>
      <w:r w:rsidRPr="006D1E0D">
        <w:t>The</w:t>
      </w:r>
      <w:r w:rsidRPr="006D1E0D">
        <w:t xml:space="preserve"> </w:t>
      </w:r>
      <w:r w:rsidRPr="006D1E0D">
        <w:t>rise</w:t>
      </w:r>
      <w:r w:rsidRPr="006D1E0D">
        <w:t xml:space="preserve"> </w:t>
      </w:r>
      <w:r w:rsidRPr="006D1E0D">
        <w:t>of</w:t>
      </w:r>
      <w:r w:rsidRPr="006D1E0D">
        <w:t xml:space="preserve"> </w:t>
      </w:r>
      <w:r w:rsidRPr="006D1E0D">
        <w:t>claims</w:t>
      </w:r>
      <w:r w:rsidRPr="006D1E0D">
        <w:t xml:space="preserve"> </w:t>
      </w:r>
      <w:r w:rsidRPr="006D1E0D">
        <w:t>management</w:t>
      </w:r>
      <w:r w:rsidRPr="006D1E0D">
        <w:t xml:space="preserve"> </w:t>
      </w:r>
      <w:r w:rsidRPr="006D1E0D">
        <w:t>firms</w:t>
      </w:r>
    </w:p>
    <w:p w14:paraId="7F41EFE6" w14:textId="77777777" w:rsidR="006D1E0D" w:rsidRDefault="0012359B" w:rsidP="006D1E0D">
      <w:pPr>
        <w:pStyle w:val="ListParagraph"/>
        <w:numPr>
          <w:ilvl w:val="0"/>
          <w:numId w:val="10"/>
        </w:numPr>
      </w:pPr>
      <w:r w:rsidRPr="006D1E0D">
        <w:t>FCA-TPR-YPAS joint</w:t>
      </w:r>
      <w:r w:rsidRPr="006D1E0D">
        <w:t xml:space="preserve"> </w:t>
      </w:r>
      <w:r w:rsidRPr="006D1E0D">
        <w:t>protocol</w:t>
      </w:r>
    </w:p>
    <w:p w14:paraId="1AD642A3" w14:textId="4C0537FE" w:rsidR="00C5497C" w:rsidRPr="006D1E0D" w:rsidRDefault="0012359B" w:rsidP="006D1E0D">
      <w:pPr>
        <w:pStyle w:val="ListParagraph"/>
        <w:numPr>
          <w:ilvl w:val="0"/>
          <w:numId w:val="10"/>
        </w:numPr>
      </w:pPr>
      <w:r w:rsidRPr="006D1E0D">
        <w:t>Additional case</w:t>
      </w:r>
      <w:r w:rsidRPr="006D1E0D">
        <w:t xml:space="preserve"> </w:t>
      </w:r>
      <w:r w:rsidRPr="006D1E0D">
        <w:t>studies</w:t>
      </w:r>
    </w:p>
    <w:p w14:paraId="28C71AB1" w14:textId="77777777" w:rsidR="00C5497C" w:rsidRPr="006D1E0D" w:rsidRDefault="00C5497C" w:rsidP="006D1E0D"/>
    <w:p w14:paraId="7957C9F8" w14:textId="77777777" w:rsidR="00C5497C" w:rsidRPr="006D1E0D" w:rsidRDefault="0012359B" w:rsidP="006D1E0D">
      <w:pPr>
        <w:ind w:left="360"/>
      </w:pPr>
      <w:r w:rsidRPr="006D1E0D">
        <w:t>The</w:t>
      </w:r>
      <w:r w:rsidRPr="006D1E0D">
        <w:t xml:space="preserve"> </w:t>
      </w:r>
      <w:r w:rsidRPr="006D1E0D">
        <w:t>Code</w:t>
      </w:r>
      <w:r w:rsidRPr="006D1E0D">
        <w:t xml:space="preserve"> </w:t>
      </w:r>
      <w:r w:rsidRPr="006D1E0D">
        <w:t>will</w:t>
      </w:r>
      <w:r w:rsidRPr="006D1E0D">
        <w:t xml:space="preserve"> </w:t>
      </w:r>
      <w:r w:rsidRPr="006D1E0D">
        <w:t>be</w:t>
      </w:r>
      <w:r w:rsidRPr="006D1E0D">
        <w:t xml:space="preserve"> </w:t>
      </w:r>
      <w:r w:rsidRPr="006D1E0D">
        <w:t>reviewed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updated</w:t>
      </w:r>
      <w:r w:rsidRPr="006D1E0D">
        <w:t xml:space="preserve"> </w:t>
      </w:r>
      <w:r w:rsidRPr="006D1E0D">
        <w:t>on</w:t>
      </w:r>
      <w:r w:rsidRPr="006D1E0D">
        <w:t xml:space="preserve"> </w:t>
      </w:r>
      <w:r w:rsidRPr="006D1E0D">
        <w:t>a</w:t>
      </w:r>
      <w:r w:rsidRPr="006D1E0D">
        <w:t xml:space="preserve"> </w:t>
      </w:r>
      <w:r w:rsidRPr="006D1E0D">
        <w:t>regular</w:t>
      </w:r>
      <w:r w:rsidRPr="006D1E0D">
        <w:t xml:space="preserve"> </w:t>
      </w:r>
      <w:r w:rsidRPr="006D1E0D">
        <w:t>basis</w:t>
      </w:r>
      <w:r w:rsidRPr="006D1E0D">
        <w:t xml:space="preserve"> </w:t>
      </w:r>
      <w:r w:rsidRPr="006D1E0D">
        <w:t>to</w:t>
      </w:r>
      <w:r w:rsidRPr="006D1E0D">
        <w:t xml:space="preserve"> </w:t>
      </w:r>
      <w:r w:rsidRPr="006D1E0D">
        <w:t>ensure</w:t>
      </w:r>
      <w:r w:rsidRPr="006D1E0D">
        <w:t xml:space="preserve"> </w:t>
      </w:r>
      <w:r w:rsidRPr="006D1E0D">
        <w:t>it</w:t>
      </w:r>
      <w:r w:rsidRPr="006D1E0D">
        <w:t xml:space="preserve"> </w:t>
      </w:r>
      <w:r w:rsidRPr="006D1E0D">
        <w:t>reflects</w:t>
      </w:r>
      <w:r w:rsidRPr="006D1E0D">
        <w:t xml:space="preserve"> </w:t>
      </w:r>
      <w:r w:rsidRPr="006D1E0D">
        <w:t>current</w:t>
      </w:r>
      <w:r w:rsidRPr="006D1E0D">
        <w:t xml:space="preserve"> </w:t>
      </w:r>
      <w:r w:rsidRPr="006D1E0D">
        <w:t>risks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good practice.</w:t>
      </w:r>
    </w:p>
    <w:p w14:paraId="58DE10C2" w14:textId="77777777" w:rsidR="00C5497C" w:rsidRPr="006D1E0D" w:rsidRDefault="0012359B" w:rsidP="006D1E0D">
      <w:pPr>
        <w:ind w:left="8640" w:firstLine="720"/>
        <w:rPr>
          <w:b/>
          <w:bCs/>
        </w:rPr>
      </w:pPr>
      <w:r w:rsidRPr="006D1E0D">
        <w:rPr>
          <w:b/>
          <w:bCs/>
        </w:rPr>
        <w:t>5 marks</w:t>
      </w:r>
    </w:p>
    <w:p w14:paraId="5A35C3BB" w14:textId="73D42927" w:rsidR="00C5497C" w:rsidRDefault="00C5497C" w:rsidP="006D1E0D"/>
    <w:p w14:paraId="2D3BB1C2" w14:textId="661F2B3A" w:rsidR="006D1E0D" w:rsidRDefault="006D1E0D" w:rsidP="006D1E0D"/>
    <w:p w14:paraId="54CA4269" w14:textId="6E629706" w:rsidR="006D1E0D" w:rsidRDefault="006D1E0D" w:rsidP="006D1E0D"/>
    <w:p w14:paraId="5748BC10" w14:textId="1C638775" w:rsidR="006D1E0D" w:rsidRDefault="006D1E0D" w:rsidP="006D1E0D"/>
    <w:p w14:paraId="31505E95" w14:textId="7349541D" w:rsidR="006D1E0D" w:rsidRDefault="006D1E0D" w:rsidP="006D1E0D"/>
    <w:p w14:paraId="5F2CE281" w14:textId="57FA665F" w:rsidR="006D1E0D" w:rsidRDefault="006D1E0D" w:rsidP="006D1E0D"/>
    <w:p w14:paraId="3C363FDA" w14:textId="083C52E9" w:rsidR="006D1E0D" w:rsidRDefault="006D1E0D" w:rsidP="006D1E0D"/>
    <w:p w14:paraId="0D45576A" w14:textId="38373BC6" w:rsidR="006D1E0D" w:rsidRDefault="006D1E0D" w:rsidP="006D1E0D"/>
    <w:p w14:paraId="39FCF299" w14:textId="37F39EFD" w:rsidR="006D1E0D" w:rsidRDefault="006D1E0D" w:rsidP="006D1E0D"/>
    <w:p w14:paraId="18272DB9" w14:textId="3211D592" w:rsidR="006D1E0D" w:rsidRDefault="006D1E0D" w:rsidP="006D1E0D"/>
    <w:p w14:paraId="713B00D4" w14:textId="7F9BA718" w:rsidR="006D1E0D" w:rsidRDefault="006D1E0D" w:rsidP="006D1E0D"/>
    <w:p w14:paraId="11663B15" w14:textId="19F555BF" w:rsidR="006D1E0D" w:rsidRDefault="006D1E0D" w:rsidP="006D1E0D"/>
    <w:p w14:paraId="73E72DF1" w14:textId="06DA612D" w:rsidR="006D1E0D" w:rsidRDefault="006D1E0D" w:rsidP="006D1E0D"/>
    <w:p w14:paraId="02CEC11C" w14:textId="50D306C5" w:rsidR="006D1E0D" w:rsidRDefault="006D1E0D" w:rsidP="006D1E0D"/>
    <w:p w14:paraId="4AB784DE" w14:textId="7D710632" w:rsidR="006D1E0D" w:rsidRDefault="006D1E0D" w:rsidP="006D1E0D"/>
    <w:p w14:paraId="7407AC4A" w14:textId="65698419" w:rsidR="006D1E0D" w:rsidRDefault="006D1E0D" w:rsidP="006D1E0D"/>
    <w:p w14:paraId="1BFD9E9B" w14:textId="6BBA6CE2" w:rsidR="006D1E0D" w:rsidRDefault="006D1E0D" w:rsidP="006D1E0D"/>
    <w:p w14:paraId="69F00C5D" w14:textId="39174C23" w:rsidR="006D1E0D" w:rsidRDefault="006D1E0D" w:rsidP="006D1E0D"/>
    <w:p w14:paraId="4DD0BA53" w14:textId="5B88D34C" w:rsidR="006D1E0D" w:rsidRDefault="006D1E0D" w:rsidP="006D1E0D"/>
    <w:p w14:paraId="2B1EFFF3" w14:textId="5F4DD1FC" w:rsidR="006D1E0D" w:rsidRDefault="006D1E0D" w:rsidP="006D1E0D"/>
    <w:p w14:paraId="477DA00A" w14:textId="39718443" w:rsidR="006D1E0D" w:rsidRDefault="006D1E0D" w:rsidP="006D1E0D"/>
    <w:p w14:paraId="52EBD601" w14:textId="3C7DD222" w:rsidR="006D1E0D" w:rsidRDefault="006D1E0D" w:rsidP="006D1E0D"/>
    <w:p w14:paraId="41F34029" w14:textId="2BF14E9F" w:rsidR="006D1E0D" w:rsidRDefault="006D1E0D" w:rsidP="006D1E0D"/>
    <w:p w14:paraId="6361E88D" w14:textId="3E234B4E" w:rsidR="006D1E0D" w:rsidRDefault="006D1E0D" w:rsidP="006D1E0D"/>
    <w:p w14:paraId="6B0CC042" w14:textId="63388468" w:rsidR="006D1E0D" w:rsidRDefault="006D1E0D" w:rsidP="006D1E0D"/>
    <w:p w14:paraId="0A3C814C" w14:textId="4E38E938" w:rsidR="006D1E0D" w:rsidRDefault="006D1E0D" w:rsidP="006D1E0D"/>
    <w:p w14:paraId="7857F46A" w14:textId="61487600" w:rsidR="006D1E0D" w:rsidRDefault="006D1E0D" w:rsidP="006D1E0D"/>
    <w:p w14:paraId="33E3C2A1" w14:textId="43AE7228" w:rsidR="006D1E0D" w:rsidRDefault="006D1E0D" w:rsidP="006D1E0D"/>
    <w:p w14:paraId="165E2FF1" w14:textId="3661E800" w:rsidR="006D1E0D" w:rsidRDefault="006D1E0D" w:rsidP="006D1E0D"/>
    <w:p w14:paraId="650E0B5C" w14:textId="66D6AD93" w:rsidR="006D1E0D" w:rsidRDefault="006D1E0D" w:rsidP="006D1E0D"/>
    <w:p w14:paraId="54CDC27C" w14:textId="74AADFF7" w:rsidR="006D1E0D" w:rsidRDefault="006D1E0D" w:rsidP="006D1E0D"/>
    <w:p w14:paraId="5A5F0D86" w14:textId="0B96C532" w:rsidR="006D1E0D" w:rsidRDefault="006D1E0D" w:rsidP="006D1E0D"/>
    <w:p w14:paraId="3217B7C7" w14:textId="52F21200" w:rsidR="006D1E0D" w:rsidRDefault="006D1E0D" w:rsidP="006D1E0D"/>
    <w:p w14:paraId="2BA9797F" w14:textId="77777777" w:rsidR="006D1E0D" w:rsidRPr="006D1E0D" w:rsidRDefault="006D1E0D" w:rsidP="006D1E0D"/>
    <w:p w14:paraId="5BA2D44B" w14:textId="7DEE3695" w:rsidR="00C5497C" w:rsidRPr="006D1E0D" w:rsidRDefault="0012359B" w:rsidP="006D1E0D">
      <w:pPr>
        <w:pStyle w:val="ListParagraph"/>
        <w:numPr>
          <w:ilvl w:val="0"/>
          <w:numId w:val="3"/>
        </w:numPr>
        <w:rPr>
          <w:b/>
          <w:bCs/>
        </w:rPr>
      </w:pPr>
      <w:r w:rsidRPr="006D1E0D">
        <w:rPr>
          <w:b/>
          <w:bCs/>
        </w:rPr>
        <w:t>Explain</w:t>
      </w:r>
      <w:r w:rsidRPr="006D1E0D">
        <w:rPr>
          <w:b/>
          <w:bCs/>
        </w:rPr>
        <w:t xml:space="preserve"> </w:t>
      </w:r>
      <w:r w:rsidRPr="006D1E0D">
        <w:rPr>
          <w:b/>
          <w:bCs/>
        </w:rPr>
        <w:t>the</w:t>
      </w:r>
      <w:r w:rsidRPr="006D1E0D">
        <w:rPr>
          <w:b/>
          <w:bCs/>
        </w:rPr>
        <w:t xml:space="preserve"> </w:t>
      </w:r>
      <w:r w:rsidRPr="006D1E0D">
        <w:rPr>
          <w:b/>
          <w:bCs/>
        </w:rPr>
        <w:t>Government’s</w:t>
      </w:r>
      <w:r w:rsidRPr="006D1E0D">
        <w:rPr>
          <w:b/>
          <w:bCs/>
        </w:rPr>
        <w:t xml:space="preserve"> </w:t>
      </w:r>
      <w:r w:rsidRPr="006D1E0D">
        <w:rPr>
          <w:b/>
          <w:bCs/>
        </w:rPr>
        <w:t>10</w:t>
      </w:r>
      <w:r w:rsidRPr="006D1E0D">
        <w:rPr>
          <w:b/>
          <w:bCs/>
        </w:rPr>
        <w:t xml:space="preserve"> </w:t>
      </w:r>
      <w:r w:rsidRPr="006D1E0D">
        <w:rPr>
          <w:b/>
          <w:bCs/>
        </w:rPr>
        <w:t>steps</w:t>
      </w:r>
      <w:r w:rsidRPr="006D1E0D">
        <w:rPr>
          <w:b/>
          <w:bCs/>
        </w:rPr>
        <w:t xml:space="preserve"> </w:t>
      </w:r>
      <w:r w:rsidRPr="006D1E0D">
        <w:rPr>
          <w:b/>
          <w:bCs/>
        </w:rPr>
        <w:t>to</w:t>
      </w:r>
      <w:r w:rsidRPr="006D1E0D">
        <w:rPr>
          <w:b/>
          <w:bCs/>
        </w:rPr>
        <w:t xml:space="preserve"> </w:t>
      </w:r>
      <w:r w:rsidRPr="006D1E0D">
        <w:rPr>
          <w:b/>
          <w:bCs/>
        </w:rPr>
        <w:t>Cyber</w:t>
      </w:r>
      <w:r w:rsidRPr="006D1E0D">
        <w:rPr>
          <w:b/>
          <w:bCs/>
        </w:rPr>
        <w:t xml:space="preserve"> </w:t>
      </w:r>
      <w:r w:rsidRPr="006D1E0D">
        <w:rPr>
          <w:b/>
          <w:bCs/>
        </w:rPr>
        <w:t>Security</w:t>
      </w:r>
      <w:r w:rsidR="006D1E0D" w:rsidRPr="006D1E0D">
        <w:rPr>
          <w:b/>
          <w:bCs/>
        </w:rPr>
        <w:t>.</w:t>
      </w:r>
    </w:p>
    <w:p w14:paraId="10B728A6" w14:textId="77777777" w:rsidR="00C5497C" w:rsidRPr="006D1E0D" w:rsidRDefault="00C5497C" w:rsidP="006D1E0D"/>
    <w:p w14:paraId="5D9F3541" w14:textId="77777777" w:rsidR="00C5497C" w:rsidRPr="006D1E0D" w:rsidRDefault="0012359B" w:rsidP="006D1E0D">
      <w:pPr>
        <w:ind w:left="360"/>
      </w:pPr>
      <w:r w:rsidRPr="006D1E0D">
        <w:t>A</w:t>
      </w:r>
      <w:r w:rsidRPr="006D1E0D">
        <w:t>nsw</w:t>
      </w:r>
      <w:r w:rsidRPr="006D1E0D">
        <w:t>e</w:t>
      </w:r>
      <w:r w:rsidRPr="006D1E0D">
        <w:t>r</w:t>
      </w:r>
      <w:r w:rsidRPr="006D1E0D">
        <w:t xml:space="preserve"> </w:t>
      </w:r>
      <w:r w:rsidRPr="006D1E0D">
        <w:t>sh</w:t>
      </w:r>
      <w:r w:rsidRPr="006D1E0D">
        <w:t>o</w:t>
      </w:r>
      <w:r w:rsidRPr="006D1E0D">
        <w:t>u</w:t>
      </w:r>
      <w:r w:rsidRPr="006D1E0D">
        <w:t>ld</w:t>
      </w:r>
      <w:r w:rsidRPr="006D1E0D">
        <w:t xml:space="preserve"> </w:t>
      </w:r>
      <w:r w:rsidRPr="006D1E0D">
        <w:t>c</w:t>
      </w:r>
      <w:r w:rsidRPr="006D1E0D">
        <w:t>o</w:t>
      </w:r>
      <w:r w:rsidRPr="006D1E0D">
        <w:t>v</w:t>
      </w:r>
      <w:r w:rsidRPr="006D1E0D">
        <w:t>e</w:t>
      </w:r>
      <w:r w:rsidRPr="006D1E0D">
        <w:t>r</w:t>
      </w:r>
      <w:r w:rsidRPr="006D1E0D">
        <w:t>:</w:t>
      </w:r>
    </w:p>
    <w:p w14:paraId="3FCAED5C" w14:textId="77777777" w:rsidR="00C5497C" w:rsidRPr="006D1E0D" w:rsidRDefault="00C5497C" w:rsidP="006D1E0D">
      <w:pPr>
        <w:ind w:left="360"/>
      </w:pPr>
    </w:p>
    <w:p w14:paraId="32B46DDB" w14:textId="7900FAE6" w:rsidR="006D1E0D" w:rsidRDefault="0012359B" w:rsidP="006D1E0D">
      <w:pPr>
        <w:ind w:left="360"/>
      </w:pPr>
      <w:r w:rsidRPr="006D1E0D">
        <w:t>The</w:t>
      </w:r>
      <w:r w:rsidRPr="006D1E0D">
        <w:t xml:space="preserve"> </w:t>
      </w:r>
      <w:r w:rsidRPr="006D1E0D">
        <w:t>Government,</w:t>
      </w:r>
      <w:r w:rsidRPr="006D1E0D">
        <w:t xml:space="preserve"> </w:t>
      </w:r>
      <w:r w:rsidRPr="006D1E0D">
        <w:t>through</w:t>
      </w:r>
      <w:r w:rsidRPr="006D1E0D">
        <w:t xml:space="preserve"> </w:t>
      </w:r>
      <w:r w:rsidRPr="006D1E0D">
        <w:t>the</w:t>
      </w:r>
      <w:r w:rsidRPr="006D1E0D">
        <w:t xml:space="preserve"> </w:t>
      </w:r>
      <w:r w:rsidRPr="006D1E0D">
        <w:t>National</w:t>
      </w:r>
      <w:r w:rsidRPr="006D1E0D">
        <w:t xml:space="preserve"> </w:t>
      </w:r>
      <w:r w:rsidRPr="006D1E0D">
        <w:t>Cyber</w:t>
      </w:r>
      <w:r w:rsidRPr="006D1E0D">
        <w:t xml:space="preserve"> </w:t>
      </w:r>
      <w:r w:rsidRPr="006D1E0D">
        <w:t>Security</w:t>
      </w:r>
      <w:r w:rsidRPr="006D1E0D">
        <w:t xml:space="preserve"> </w:t>
      </w:r>
      <w:r w:rsidRPr="006D1E0D">
        <w:t>Centre,</w:t>
      </w:r>
      <w:r w:rsidRPr="006D1E0D">
        <w:t xml:space="preserve"> </w:t>
      </w:r>
      <w:r w:rsidRPr="006D1E0D">
        <w:t>has</w:t>
      </w:r>
      <w:r w:rsidRPr="006D1E0D">
        <w:t xml:space="preserve"> </w:t>
      </w:r>
      <w:r w:rsidRPr="006D1E0D">
        <w:t>published</w:t>
      </w:r>
      <w:r w:rsidRPr="006D1E0D">
        <w:t xml:space="preserve"> </w:t>
      </w:r>
      <w:r w:rsidRPr="006D1E0D">
        <w:t>10</w:t>
      </w:r>
      <w:r w:rsidRPr="006D1E0D">
        <w:t xml:space="preserve"> </w:t>
      </w:r>
      <w:r w:rsidRPr="006D1E0D">
        <w:t>steps</w:t>
      </w:r>
      <w:r w:rsidRPr="006D1E0D">
        <w:t xml:space="preserve"> </w:t>
      </w:r>
      <w:r w:rsidRPr="006D1E0D">
        <w:t>to</w:t>
      </w:r>
      <w:r w:rsidRPr="006D1E0D">
        <w:t xml:space="preserve"> </w:t>
      </w:r>
      <w:r w:rsidRPr="006D1E0D">
        <w:t>cyber</w:t>
      </w:r>
      <w:r w:rsidRPr="006D1E0D">
        <w:t xml:space="preserve"> </w:t>
      </w:r>
      <w:r w:rsidRPr="006D1E0D">
        <w:t xml:space="preserve">security </w:t>
      </w:r>
      <w:r w:rsidRPr="006D1E0D">
        <w:t>to</w:t>
      </w:r>
      <w:r w:rsidRPr="006D1E0D">
        <w:t xml:space="preserve"> </w:t>
      </w:r>
      <w:r w:rsidRPr="006D1E0D">
        <w:t>help</w:t>
      </w:r>
      <w:r w:rsidRPr="006D1E0D">
        <w:t xml:space="preserve"> </w:t>
      </w:r>
      <w:r w:rsidRPr="006D1E0D">
        <w:t>organisations</w:t>
      </w:r>
      <w:r w:rsidRPr="006D1E0D">
        <w:t xml:space="preserve"> </w:t>
      </w:r>
      <w:r w:rsidRPr="006D1E0D">
        <w:t>(like</w:t>
      </w:r>
      <w:r w:rsidRPr="006D1E0D">
        <w:t xml:space="preserve"> </w:t>
      </w:r>
      <w:r w:rsidRPr="006D1E0D">
        <w:t>pension</w:t>
      </w:r>
      <w:r w:rsidRPr="006D1E0D">
        <w:t xml:space="preserve"> </w:t>
      </w:r>
      <w:r w:rsidRPr="006D1E0D">
        <w:t>schemes)</w:t>
      </w:r>
      <w:r w:rsidRPr="006D1E0D">
        <w:t xml:space="preserve"> </w:t>
      </w:r>
      <w:r w:rsidRPr="006D1E0D">
        <w:t>protect</w:t>
      </w:r>
      <w:r w:rsidRPr="006D1E0D">
        <w:t xml:space="preserve"> </w:t>
      </w:r>
      <w:r w:rsidRPr="006D1E0D">
        <w:t>themselves</w:t>
      </w:r>
      <w:r w:rsidRPr="006D1E0D">
        <w:t xml:space="preserve"> </w:t>
      </w:r>
      <w:r w:rsidRPr="006D1E0D">
        <w:t>in</w:t>
      </w:r>
      <w:r w:rsidRPr="006D1E0D">
        <w:t xml:space="preserve"> </w:t>
      </w:r>
      <w:r w:rsidRPr="006D1E0D">
        <w:t>cyber</w:t>
      </w:r>
      <w:r w:rsidRPr="006D1E0D">
        <w:t xml:space="preserve"> </w:t>
      </w:r>
      <w:r w:rsidRPr="006D1E0D">
        <w:t>space.</w:t>
      </w:r>
      <w:r w:rsidRPr="006D1E0D">
        <w:t xml:space="preserve"> </w:t>
      </w:r>
      <w:r w:rsidRPr="006D1E0D">
        <w:t>The</w:t>
      </w:r>
      <w:r w:rsidRPr="006D1E0D">
        <w:t xml:space="preserve"> </w:t>
      </w:r>
      <w:r w:rsidRPr="006D1E0D">
        <w:t>10</w:t>
      </w:r>
      <w:r w:rsidRPr="006D1E0D">
        <w:t xml:space="preserve"> </w:t>
      </w:r>
      <w:r w:rsidRPr="006D1E0D">
        <w:t>steps</w:t>
      </w:r>
      <w:r w:rsidRPr="006D1E0D">
        <w:t xml:space="preserve"> </w:t>
      </w:r>
      <w:r w:rsidRPr="006D1E0D">
        <w:t>are:</w:t>
      </w:r>
    </w:p>
    <w:p w14:paraId="35A649E8" w14:textId="77777777" w:rsidR="006D1E0D" w:rsidRPr="006D1E0D" w:rsidRDefault="006D1E0D" w:rsidP="006D1E0D">
      <w:pPr>
        <w:ind w:left="360"/>
      </w:pPr>
    </w:p>
    <w:p w14:paraId="1F2F8B73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Risk</w:t>
      </w:r>
      <w:r w:rsidRPr="006D1E0D">
        <w:t xml:space="preserve"> </w:t>
      </w:r>
      <w:r w:rsidRPr="006D1E0D">
        <w:t>Management</w:t>
      </w:r>
      <w:r w:rsidRPr="006D1E0D">
        <w:t xml:space="preserve"> </w:t>
      </w:r>
      <w:r w:rsidRPr="006D1E0D">
        <w:t>Regime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Embed</w:t>
      </w:r>
      <w:r w:rsidRPr="006D1E0D">
        <w:t xml:space="preserve"> </w:t>
      </w:r>
      <w:r w:rsidRPr="006D1E0D">
        <w:t>an</w:t>
      </w:r>
      <w:r w:rsidRPr="006D1E0D">
        <w:t xml:space="preserve"> </w:t>
      </w:r>
      <w:r w:rsidRPr="006D1E0D">
        <w:t>appropriate</w:t>
      </w:r>
      <w:r w:rsidRPr="006D1E0D">
        <w:t xml:space="preserve"> </w:t>
      </w:r>
      <w:r w:rsidRPr="006D1E0D">
        <w:t>risk</w:t>
      </w:r>
      <w:r w:rsidRPr="006D1E0D">
        <w:t xml:space="preserve"> </w:t>
      </w:r>
      <w:r w:rsidRPr="006D1E0D">
        <w:t>management</w:t>
      </w:r>
      <w:r w:rsidRPr="006D1E0D">
        <w:t xml:space="preserve"> </w:t>
      </w:r>
      <w:r w:rsidRPr="006D1E0D">
        <w:t>regime</w:t>
      </w:r>
      <w:r w:rsidRPr="006D1E0D">
        <w:t xml:space="preserve"> </w:t>
      </w:r>
      <w:r w:rsidRPr="006D1E0D">
        <w:t>across</w:t>
      </w:r>
      <w:r w:rsidRPr="006D1E0D">
        <w:t xml:space="preserve"> </w:t>
      </w:r>
      <w:r w:rsidRPr="006D1E0D">
        <w:t>your</w:t>
      </w:r>
      <w:r w:rsidRPr="006D1E0D">
        <w:t xml:space="preserve"> </w:t>
      </w:r>
      <w:r w:rsidRPr="006D1E0D">
        <w:t xml:space="preserve">pension </w:t>
      </w:r>
      <w:r w:rsidRPr="006D1E0D">
        <w:t>scheme.</w:t>
      </w:r>
      <w:r w:rsidRPr="006D1E0D">
        <w:t xml:space="preserve"> </w:t>
      </w:r>
      <w:r w:rsidRPr="006D1E0D">
        <w:t>This</w:t>
      </w:r>
      <w:r w:rsidRPr="006D1E0D">
        <w:t xml:space="preserve"> </w:t>
      </w:r>
      <w:r w:rsidRPr="006D1E0D">
        <w:t>should</w:t>
      </w:r>
      <w:r w:rsidRPr="006D1E0D">
        <w:t xml:space="preserve"> </w:t>
      </w:r>
      <w:r w:rsidRPr="006D1E0D">
        <w:t>be</w:t>
      </w:r>
      <w:r w:rsidRPr="006D1E0D">
        <w:t xml:space="preserve"> </w:t>
      </w:r>
      <w:r w:rsidRPr="006D1E0D">
        <w:t>supported</w:t>
      </w:r>
      <w:r w:rsidRPr="006D1E0D">
        <w:t xml:space="preserve"> </w:t>
      </w:r>
      <w:r w:rsidRPr="006D1E0D">
        <w:t>by</w:t>
      </w:r>
      <w:r w:rsidRPr="006D1E0D">
        <w:t xml:space="preserve"> </w:t>
      </w:r>
      <w:r w:rsidRPr="006D1E0D">
        <w:t>an</w:t>
      </w:r>
      <w:r w:rsidRPr="006D1E0D">
        <w:t xml:space="preserve"> </w:t>
      </w:r>
      <w:r w:rsidRPr="006D1E0D">
        <w:t>empowered</w:t>
      </w:r>
      <w:r w:rsidRPr="006D1E0D">
        <w:t xml:space="preserve"> </w:t>
      </w:r>
      <w:r w:rsidRPr="006D1E0D">
        <w:t>governance</w:t>
      </w:r>
      <w:r w:rsidRPr="006D1E0D">
        <w:t xml:space="preserve"> </w:t>
      </w:r>
      <w:r w:rsidRPr="006D1E0D">
        <w:t>structure,</w:t>
      </w:r>
      <w:r w:rsidRPr="006D1E0D">
        <w:t xml:space="preserve"> </w:t>
      </w:r>
      <w:r w:rsidRPr="006D1E0D">
        <w:t>which</w:t>
      </w:r>
      <w:r w:rsidRPr="006D1E0D">
        <w:t xml:space="preserve"> </w:t>
      </w:r>
      <w:r w:rsidRPr="006D1E0D">
        <w:t>is</w:t>
      </w:r>
      <w:r w:rsidRPr="006D1E0D">
        <w:t xml:space="preserve"> </w:t>
      </w:r>
      <w:r w:rsidRPr="006D1E0D">
        <w:t>actively supported</w:t>
      </w:r>
      <w:r w:rsidRPr="006D1E0D">
        <w:t xml:space="preserve"> </w:t>
      </w:r>
      <w:r w:rsidRPr="006D1E0D">
        <w:t>by</w:t>
      </w:r>
      <w:r w:rsidRPr="006D1E0D">
        <w:t xml:space="preserve"> </w:t>
      </w:r>
      <w:r w:rsidRPr="006D1E0D">
        <w:t>trustees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management.</w:t>
      </w:r>
    </w:p>
    <w:p w14:paraId="7E057E6F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Secure</w:t>
      </w:r>
      <w:r w:rsidRPr="006D1E0D">
        <w:t xml:space="preserve"> </w:t>
      </w:r>
      <w:r w:rsidRPr="006D1E0D">
        <w:t>Configuration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Apply</w:t>
      </w:r>
      <w:r w:rsidRPr="006D1E0D">
        <w:t xml:space="preserve"> </w:t>
      </w:r>
      <w:r w:rsidRPr="006D1E0D">
        <w:t>security</w:t>
      </w:r>
      <w:r w:rsidRPr="006D1E0D">
        <w:t xml:space="preserve"> </w:t>
      </w:r>
      <w:r w:rsidRPr="006D1E0D">
        <w:t>patches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ensure</w:t>
      </w:r>
      <w:r w:rsidRPr="006D1E0D">
        <w:t xml:space="preserve"> </w:t>
      </w:r>
      <w:r w:rsidRPr="006D1E0D">
        <w:t>the</w:t>
      </w:r>
      <w:r w:rsidRPr="006D1E0D">
        <w:t xml:space="preserve"> </w:t>
      </w:r>
      <w:r w:rsidRPr="006D1E0D">
        <w:t>secure</w:t>
      </w:r>
      <w:r w:rsidRPr="006D1E0D">
        <w:t xml:space="preserve"> </w:t>
      </w:r>
      <w:r w:rsidRPr="006D1E0D">
        <w:t>configuration</w:t>
      </w:r>
      <w:r w:rsidRPr="006D1E0D">
        <w:t xml:space="preserve"> </w:t>
      </w:r>
      <w:r w:rsidRPr="006D1E0D">
        <w:t>of</w:t>
      </w:r>
      <w:r w:rsidRPr="006D1E0D">
        <w:t xml:space="preserve"> </w:t>
      </w:r>
      <w:r w:rsidRPr="006D1E0D">
        <w:t>all</w:t>
      </w:r>
      <w:r w:rsidRPr="006D1E0D">
        <w:t xml:space="preserve"> </w:t>
      </w:r>
      <w:r w:rsidRPr="006D1E0D">
        <w:t>systems</w:t>
      </w:r>
      <w:r w:rsidRPr="006D1E0D">
        <w:t xml:space="preserve"> </w:t>
      </w:r>
      <w:r w:rsidRPr="006D1E0D">
        <w:t xml:space="preserve">is </w:t>
      </w:r>
      <w:r w:rsidRPr="006D1E0D">
        <w:t>maintained.</w:t>
      </w:r>
      <w:r w:rsidRPr="006D1E0D">
        <w:t xml:space="preserve"> </w:t>
      </w:r>
      <w:r w:rsidRPr="006D1E0D">
        <w:t>create</w:t>
      </w:r>
      <w:r w:rsidRPr="006D1E0D">
        <w:t xml:space="preserve"> </w:t>
      </w:r>
      <w:r w:rsidRPr="006D1E0D">
        <w:t>a</w:t>
      </w:r>
      <w:r w:rsidRPr="006D1E0D">
        <w:t xml:space="preserve"> </w:t>
      </w:r>
      <w:r w:rsidRPr="006D1E0D">
        <w:t>system</w:t>
      </w:r>
      <w:r w:rsidRPr="006D1E0D">
        <w:t xml:space="preserve"> </w:t>
      </w:r>
      <w:r w:rsidRPr="006D1E0D">
        <w:t>inventory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define</w:t>
      </w:r>
      <w:r w:rsidRPr="006D1E0D">
        <w:t xml:space="preserve"> </w:t>
      </w:r>
      <w:r w:rsidRPr="006D1E0D">
        <w:t>a</w:t>
      </w:r>
      <w:r w:rsidRPr="006D1E0D">
        <w:t xml:space="preserve"> </w:t>
      </w:r>
      <w:r w:rsidRPr="006D1E0D">
        <w:t>baseline</w:t>
      </w:r>
      <w:r w:rsidRPr="006D1E0D">
        <w:t xml:space="preserve"> </w:t>
      </w:r>
      <w:r w:rsidRPr="006D1E0D">
        <w:t>build</w:t>
      </w:r>
      <w:r w:rsidRPr="006D1E0D">
        <w:t xml:space="preserve"> </w:t>
      </w:r>
      <w:r w:rsidRPr="006D1E0D">
        <w:t>for</w:t>
      </w:r>
      <w:r w:rsidRPr="006D1E0D">
        <w:t xml:space="preserve"> </w:t>
      </w:r>
      <w:r w:rsidRPr="006D1E0D">
        <w:t>all</w:t>
      </w:r>
      <w:r w:rsidRPr="006D1E0D">
        <w:t xml:space="preserve"> </w:t>
      </w:r>
      <w:r w:rsidRPr="006D1E0D">
        <w:t>devices.</w:t>
      </w:r>
    </w:p>
    <w:p w14:paraId="33D0695A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Network</w:t>
      </w:r>
      <w:r w:rsidRPr="006D1E0D">
        <w:t xml:space="preserve"> </w:t>
      </w:r>
      <w:r w:rsidRPr="006D1E0D">
        <w:t>Security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Protect</w:t>
      </w:r>
      <w:r w:rsidRPr="006D1E0D">
        <w:t xml:space="preserve"> </w:t>
      </w:r>
      <w:r w:rsidRPr="006D1E0D">
        <w:t>the</w:t>
      </w:r>
      <w:r w:rsidRPr="006D1E0D">
        <w:t xml:space="preserve"> </w:t>
      </w:r>
      <w:r w:rsidRPr="006D1E0D">
        <w:t>network</w:t>
      </w:r>
      <w:r w:rsidRPr="006D1E0D">
        <w:t xml:space="preserve"> </w:t>
      </w:r>
      <w:r w:rsidRPr="006D1E0D">
        <w:t>from</w:t>
      </w:r>
      <w:r w:rsidRPr="006D1E0D">
        <w:t xml:space="preserve"> </w:t>
      </w:r>
      <w:r w:rsidRPr="006D1E0D">
        <w:t>attack</w:t>
      </w:r>
      <w:r w:rsidRPr="006D1E0D">
        <w:t xml:space="preserve"> </w:t>
      </w:r>
      <w:r w:rsidRPr="006D1E0D">
        <w:t>by</w:t>
      </w:r>
      <w:r w:rsidRPr="006D1E0D">
        <w:t xml:space="preserve"> </w:t>
      </w:r>
      <w:r w:rsidRPr="006D1E0D">
        <w:t>filtering</w:t>
      </w:r>
      <w:r w:rsidRPr="006D1E0D">
        <w:t xml:space="preserve"> </w:t>
      </w:r>
      <w:r w:rsidRPr="006D1E0D">
        <w:t>out</w:t>
      </w:r>
      <w:r w:rsidRPr="006D1E0D">
        <w:t xml:space="preserve"> </w:t>
      </w:r>
      <w:r w:rsidRPr="006D1E0D">
        <w:t>unauthorised</w:t>
      </w:r>
      <w:r w:rsidRPr="006D1E0D">
        <w:t xml:space="preserve"> </w:t>
      </w:r>
      <w:r w:rsidRPr="006D1E0D">
        <w:t>access</w:t>
      </w:r>
      <w:r w:rsidRPr="006D1E0D">
        <w:t xml:space="preserve"> </w:t>
      </w:r>
      <w:r w:rsidRPr="006D1E0D">
        <w:t xml:space="preserve">and </w:t>
      </w:r>
      <w:r w:rsidRPr="006D1E0D">
        <w:t>malicious</w:t>
      </w:r>
      <w:r w:rsidRPr="006D1E0D">
        <w:t xml:space="preserve"> </w:t>
      </w:r>
      <w:r w:rsidRPr="006D1E0D">
        <w:t>content.</w:t>
      </w:r>
      <w:r w:rsidRPr="006D1E0D">
        <w:t xml:space="preserve"> </w:t>
      </w:r>
      <w:r w:rsidRPr="006D1E0D">
        <w:t>Regularly</w:t>
      </w:r>
      <w:r w:rsidRPr="006D1E0D">
        <w:t xml:space="preserve"> </w:t>
      </w:r>
      <w:r w:rsidRPr="006D1E0D">
        <w:t>monitor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test</w:t>
      </w:r>
      <w:r w:rsidRPr="006D1E0D">
        <w:t xml:space="preserve"> </w:t>
      </w:r>
      <w:r w:rsidRPr="006D1E0D">
        <w:t>security</w:t>
      </w:r>
      <w:r w:rsidRPr="006D1E0D">
        <w:t xml:space="preserve"> </w:t>
      </w:r>
      <w:r w:rsidRPr="006D1E0D">
        <w:t>controls.</w:t>
      </w:r>
    </w:p>
    <w:p w14:paraId="5D667371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Managing</w:t>
      </w:r>
      <w:r w:rsidRPr="006D1E0D">
        <w:t xml:space="preserve"> </w:t>
      </w:r>
      <w:r w:rsidRPr="006D1E0D">
        <w:t>User</w:t>
      </w:r>
      <w:r w:rsidRPr="006D1E0D">
        <w:t xml:space="preserve"> </w:t>
      </w:r>
      <w:r w:rsidRPr="006D1E0D">
        <w:t>Privileges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Establish</w:t>
      </w:r>
      <w:r w:rsidRPr="006D1E0D">
        <w:t xml:space="preserve"> </w:t>
      </w:r>
      <w:r w:rsidRPr="006D1E0D">
        <w:t>effective</w:t>
      </w:r>
      <w:r w:rsidRPr="006D1E0D">
        <w:t xml:space="preserve"> </w:t>
      </w:r>
      <w:r w:rsidRPr="006D1E0D">
        <w:t>management</w:t>
      </w:r>
      <w:r w:rsidRPr="006D1E0D">
        <w:t xml:space="preserve"> </w:t>
      </w:r>
      <w:r w:rsidRPr="006D1E0D">
        <w:t>processes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limit</w:t>
      </w:r>
      <w:r w:rsidRPr="006D1E0D">
        <w:t xml:space="preserve"> </w:t>
      </w:r>
      <w:r w:rsidRPr="006D1E0D">
        <w:t>the</w:t>
      </w:r>
      <w:r w:rsidRPr="006D1E0D">
        <w:t xml:space="preserve"> </w:t>
      </w:r>
      <w:r w:rsidRPr="006D1E0D">
        <w:t>number</w:t>
      </w:r>
      <w:r w:rsidRPr="006D1E0D">
        <w:t xml:space="preserve"> </w:t>
      </w:r>
      <w:r w:rsidRPr="006D1E0D">
        <w:t xml:space="preserve">of </w:t>
      </w:r>
      <w:r w:rsidRPr="006D1E0D">
        <w:t>privileged</w:t>
      </w:r>
      <w:r w:rsidRPr="006D1E0D">
        <w:t xml:space="preserve"> </w:t>
      </w:r>
      <w:r w:rsidRPr="006D1E0D">
        <w:t>accounts.</w:t>
      </w:r>
      <w:r w:rsidRPr="006D1E0D">
        <w:t xml:space="preserve"> </w:t>
      </w:r>
      <w:r w:rsidRPr="006D1E0D">
        <w:t>You</w:t>
      </w:r>
      <w:r w:rsidRPr="006D1E0D">
        <w:t xml:space="preserve"> </w:t>
      </w:r>
      <w:r w:rsidRPr="006D1E0D">
        <w:t>should</w:t>
      </w:r>
      <w:r w:rsidRPr="006D1E0D">
        <w:t xml:space="preserve"> </w:t>
      </w:r>
      <w:r w:rsidRPr="006D1E0D">
        <w:t>also</w:t>
      </w:r>
      <w:r w:rsidRPr="006D1E0D">
        <w:t xml:space="preserve"> </w:t>
      </w:r>
      <w:r w:rsidRPr="006D1E0D">
        <w:t>limit</w:t>
      </w:r>
      <w:r w:rsidRPr="006D1E0D">
        <w:t xml:space="preserve"> </w:t>
      </w:r>
      <w:r w:rsidRPr="006D1E0D">
        <w:t>user</w:t>
      </w:r>
      <w:r w:rsidRPr="006D1E0D">
        <w:t xml:space="preserve"> </w:t>
      </w:r>
      <w:r w:rsidRPr="006D1E0D">
        <w:t>privileges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monitor</w:t>
      </w:r>
      <w:r w:rsidRPr="006D1E0D">
        <w:t xml:space="preserve"> </w:t>
      </w:r>
      <w:r w:rsidRPr="006D1E0D">
        <w:t>user</w:t>
      </w:r>
      <w:r w:rsidRPr="006D1E0D">
        <w:t xml:space="preserve"> </w:t>
      </w:r>
      <w:r w:rsidRPr="006D1E0D">
        <w:t>activity.</w:t>
      </w:r>
    </w:p>
    <w:p w14:paraId="3E679669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User</w:t>
      </w:r>
      <w:r w:rsidRPr="006D1E0D">
        <w:t xml:space="preserve"> </w:t>
      </w:r>
      <w:r w:rsidRPr="006D1E0D">
        <w:t>Education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Awareness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Produce</w:t>
      </w:r>
      <w:r w:rsidRPr="006D1E0D">
        <w:t xml:space="preserve"> </w:t>
      </w:r>
      <w:r w:rsidRPr="006D1E0D">
        <w:t>user</w:t>
      </w:r>
      <w:r w:rsidRPr="006D1E0D">
        <w:t xml:space="preserve"> </w:t>
      </w:r>
      <w:r w:rsidRPr="006D1E0D">
        <w:t>security</w:t>
      </w:r>
      <w:r w:rsidRPr="006D1E0D">
        <w:t xml:space="preserve"> </w:t>
      </w:r>
      <w:r w:rsidRPr="006D1E0D">
        <w:t>policies</w:t>
      </w:r>
      <w:r w:rsidRPr="006D1E0D">
        <w:t xml:space="preserve"> </w:t>
      </w:r>
      <w:r w:rsidRPr="006D1E0D">
        <w:t>covering</w:t>
      </w:r>
      <w:r w:rsidRPr="006D1E0D">
        <w:t xml:space="preserve"> </w:t>
      </w:r>
      <w:r w:rsidRPr="006D1E0D">
        <w:t>acceptable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secure</w:t>
      </w:r>
      <w:r w:rsidRPr="006D1E0D">
        <w:t xml:space="preserve"> </w:t>
      </w:r>
      <w:r w:rsidRPr="006D1E0D">
        <w:t xml:space="preserve">use </w:t>
      </w:r>
      <w:r w:rsidRPr="006D1E0D">
        <w:t>of</w:t>
      </w:r>
      <w:r w:rsidRPr="006D1E0D">
        <w:t xml:space="preserve"> </w:t>
      </w:r>
      <w:r w:rsidRPr="006D1E0D">
        <w:t>systems.</w:t>
      </w:r>
      <w:r w:rsidRPr="006D1E0D">
        <w:t xml:space="preserve"> </w:t>
      </w:r>
      <w:r w:rsidRPr="006D1E0D">
        <w:t>Maintain</w:t>
      </w:r>
      <w:r w:rsidRPr="006D1E0D">
        <w:t xml:space="preserve"> </w:t>
      </w:r>
      <w:r w:rsidRPr="006D1E0D">
        <w:t>awareness</w:t>
      </w:r>
      <w:r w:rsidRPr="006D1E0D">
        <w:t xml:space="preserve"> </w:t>
      </w:r>
      <w:r w:rsidRPr="006D1E0D">
        <w:t>of</w:t>
      </w:r>
      <w:r w:rsidRPr="006D1E0D">
        <w:t xml:space="preserve"> </w:t>
      </w:r>
      <w:r w:rsidRPr="006D1E0D">
        <w:t>cyber</w:t>
      </w:r>
      <w:r w:rsidRPr="006D1E0D">
        <w:t xml:space="preserve"> </w:t>
      </w:r>
      <w:r w:rsidRPr="006D1E0D">
        <w:t>risks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provide</w:t>
      </w:r>
      <w:r w:rsidRPr="006D1E0D">
        <w:t xml:space="preserve"> </w:t>
      </w:r>
      <w:r w:rsidRPr="006D1E0D">
        <w:t>regular</w:t>
      </w:r>
      <w:r w:rsidRPr="006D1E0D">
        <w:t xml:space="preserve"> </w:t>
      </w:r>
      <w:r w:rsidRPr="006D1E0D">
        <w:t>staff</w:t>
      </w:r>
      <w:r w:rsidRPr="006D1E0D">
        <w:t xml:space="preserve"> </w:t>
      </w:r>
      <w:r w:rsidRPr="006D1E0D">
        <w:t>training.</w:t>
      </w:r>
    </w:p>
    <w:p w14:paraId="27020440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Incident</w:t>
      </w:r>
      <w:r w:rsidRPr="006D1E0D">
        <w:t xml:space="preserve"> </w:t>
      </w:r>
      <w:r w:rsidRPr="006D1E0D">
        <w:t>Management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Establish</w:t>
      </w:r>
      <w:r w:rsidRPr="006D1E0D">
        <w:t xml:space="preserve"> </w:t>
      </w:r>
      <w:r w:rsidRPr="006D1E0D">
        <w:t>incident</w:t>
      </w:r>
      <w:r w:rsidRPr="006D1E0D">
        <w:t xml:space="preserve"> </w:t>
      </w:r>
      <w:r w:rsidRPr="006D1E0D">
        <w:t>response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disaster</w:t>
      </w:r>
      <w:r w:rsidRPr="006D1E0D">
        <w:t xml:space="preserve"> </w:t>
      </w:r>
      <w:r w:rsidRPr="006D1E0D">
        <w:t>recover</w:t>
      </w:r>
      <w:r w:rsidRPr="006D1E0D">
        <w:t xml:space="preserve"> </w:t>
      </w:r>
      <w:r w:rsidRPr="006D1E0D">
        <w:t>policies</w:t>
      </w:r>
      <w:r w:rsidRPr="006D1E0D">
        <w:t xml:space="preserve"> </w:t>
      </w:r>
      <w:r w:rsidRPr="006D1E0D">
        <w:t xml:space="preserve">and </w:t>
      </w:r>
      <w:r w:rsidRPr="006D1E0D">
        <w:t>procedures.</w:t>
      </w:r>
    </w:p>
    <w:p w14:paraId="1369D761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Malware</w:t>
      </w:r>
      <w:r w:rsidRPr="006D1E0D">
        <w:t xml:space="preserve"> </w:t>
      </w:r>
      <w:r w:rsidRPr="006D1E0D">
        <w:t>Prevention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Develop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implement</w:t>
      </w:r>
      <w:r w:rsidRPr="006D1E0D">
        <w:t xml:space="preserve"> </w:t>
      </w:r>
      <w:r w:rsidRPr="006D1E0D">
        <w:t>appropriate</w:t>
      </w:r>
      <w:r w:rsidRPr="006D1E0D">
        <w:t xml:space="preserve"> </w:t>
      </w:r>
      <w:r w:rsidRPr="006D1E0D">
        <w:t>anti-malware</w:t>
      </w:r>
      <w:r w:rsidRPr="006D1E0D">
        <w:t xml:space="preserve"> </w:t>
      </w:r>
      <w:r w:rsidRPr="006D1E0D">
        <w:t>policies</w:t>
      </w:r>
      <w:r w:rsidRPr="006D1E0D">
        <w:t xml:space="preserve"> </w:t>
      </w:r>
      <w:r w:rsidRPr="006D1E0D">
        <w:t>as</w:t>
      </w:r>
      <w:r w:rsidRPr="006D1E0D">
        <w:t xml:space="preserve"> </w:t>
      </w:r>
      <w:r w:rsidRPr="006D1E0D">
        <w:t>part</w:t>
      </w:r>
      <w:r w:rsidRPr="006D1E0D">
        <w:t xml:space="preserve"> </w:t>
      </w:r>
      <w:r w:rsidRPr="006D1E0D">
        <w:t>of</w:t>
      </w:r>
      <w:r w:rsidRPr="006D1E0D">
        <w:t xml:space="preserve"> </w:t>
      </w:r>
      <w:r w:rsidRPr="006D1E0D">
        <w:t>an</w:t>
      </w:r>
    </w:p>
    <w:p w14:paraId="5E786CB1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overall ‘defence in depth’ approach.</w:t>
      </w:r>
    </w:p>
    <w:p w14:paraId="4CEEB4F1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Monitoring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Establish</w:t>
      </w:r>
      <w:r w:rsidRPr="006D1E0D">
        <w:t xml:space="preserve"> </w:t>
      </w:r>
      <w:r w:rsidRPr="006D1E0D">
        <w:t>a</w:t>
      </w:r>
      <w:r w:rsidRPr="006D1E0D">
        <w:t xml:space="preserve"> </w:t>
      </w:r>
      <w:r w:rsidRPr="006D1E0D">
        <w:t>monitoring</w:t>
      </w:r>
      <w:r w:rsidRPr="006D1E0D">
        <w:t xml:space="preserve"> </w:t>
      </w:r>
      <w:r w:rsidRPr="006D1E0D">
        <w:t>strategy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produce</w:t>
      </w:r>
      <w:r w:rsidRPr="006D1E0D">
        <w:t xml:space="preserve"> </w:t>
      </w:r>
      <w:r w:rsidRPr="006D1E0D">
        <w:t>supporting</w:t>
      </w:r>
      <w:r w:rsidRPr="006D1E0D">
        <w:t xml:space="preserve"> </w:t>
      </w:r>
      <w:r w:rsidRPr="006D1E0D">
        <w:t>policies.</w:t>
      </w:r>
      <w:r w:rsidRPr="006D1E0D">
        <w:t xml:space="preserve"> </w:t>
      </w:r>
      <w:r w:rsidRPr="006D1E0D">
        <w:t>Systems</w:t>
      </w:r>
      <w:r w:rsidRPr="006D1E0D">
        <w:t xml:space="preserve"> </w:t>
      </w:r>
      <w:r w:rsidRPr="006D1E0D">
        <w:t xml:space="preserve">and </w:t>
      </w:r>
      <w:r w:rsidRPr="006D1E0D">
        <w:t>networks</w:t>
      </w:r>
      <w:r w:rsidRPr="006D1E0D">
        <w:t xml:space="preserve"> </w:t>
      </w:r>
      <w:r w:rsidRPr="006D1E0D">
        <w:t>should</w:t>
      </w:r>
      <w:r w:rsidRPr="006D1E0D">
        <w:t xml:space="preserve"> </w:t>
      </w:r>
      <w:r w:rsidRPr="006D1E0D">
        <w:t>be</w:t>
      </w:r>
      <w:r w:rsidRPr="006D1E0D">
        <w:t xml:space="preserve"> </w:t>
      </w:r>
      <w:r w:rsidRPr="006D1E0D">
        <w:t>continuously</w:t>
      </w:r>
      <w:r w:rsidRPr="006D1E0D">
        <w:t xml:space="preserve"> </w:t>
      </w:r>
      <w:r w:rsidRPr="006D1E0D">
        <w:t>monitored.</w:t>
      </w:r>
    </w:p>
    <w:p w14:paraId="7CA057F1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Removable</w:t>
      </w:r>
      <w:r w:rsidRPr="006D1E0D">
        <w:t xml:space="preserve"> </w:t>
      </w:r>
      <w:r w:rsidRPr="006D1E0D">
        <w:t>Media</w:t>
      </w:r>
      <w:r w:rsidRPr="006D1E0D">
        <w:t xml:space="preserve"> </w:t>
      </w:r>
      <w:r w:rsidRPr="006D1E0D">
        <w:t>Controls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Produce</w:t>
      </w:r>
      <w:r w:rsidRPr="006D1E0D">
        <w:t xml:space="preserve"> </w:t>
      </w:r>
      <w:r w:rsidRPr="006D1E0D">
        <w:t>a</w:t>
      </w:r>
      <w:r w:rsidRPr="006D1E0D">
        <w:t xml:space="preserve"> </w:t>
      </w:r>
      <w:r w:rsidRPr="006D1E0D">
        <w:t>policy</w:t>
      </w:r>
      <w:r w:rsidRPr="006D1E0D">
        <w:t xml:space="preserve"> </w:t>
      </w:r>
      <w:r w:rsidRPr="006D1E0D">
        <w:t>to</w:t>
      </w:r>
      <w:r w:rsidRPr="006D1E0D">
        <w:t xml:space="preserve"> </w:t>
      </w:r>
      <w:r w:rsidRPr="006D1E0D">
        <w:t>control</w:t>
      </w:r>
      <w:r w:rsidRPr="006D1E0D">
        <w:t xml:space="preserve"> </w:t>
      </w:r>
      <w:r w:rsidRPr="006D1E0D">
        <w:t>all</w:t>
      </w:r>
      <w:r w:rsidRPr="006D1E0D">
        <w:t xml:space="preserve"> </w:t>
      </w:r>
      <w:r w:rsidRPr="006D1E0D">
        <w:t>access</w:t>
      </w:r>
      <w:r w:rsidRPr="006D1E0D">
        <w:t xml:space="preserve"> </w:t>
      </w:r>
      <w:r w:rsidRPr="006D1E0D">
        <w:t>to</w:t>
      </w:r>
      <w:r w:rsidRPr="006D1E0D">
        <w:t xml:space="preserve"> </w:t>
      </w:r>
      <w:r w:rsidRPr="006D1E0D">
        <w:t>removable</w:t>
      </w:r>
      <w:r w:rsidRPr="006D1E0D">
        <w:t xml:space="preserve"> </w:t>
      </w:r>
      <w:r w:rsidRPr="006D1E0D">
        <w:t xml:space="preserve">media. </w:t>
      </w:r>
      <w:r w:rsidRPr="006D1E0D">
        <w:t>Organisations</w:t>
      </w:r>
      <w:r w:rsidRPr="006D1E0D">
        <w:t xml:space="preserve"> </w:t>
      </w:r>
      <w:r w:rsidRPr="006D1E0D">
        <w:t>should</w:t>
      </w:r>
      <w:r w:rsidRPr="006D1E0D">
        <w:t xml:space="preserve"> </w:t>
      </w:r>
      <w:r w:rsidRPr="006D1E0D">
        <w:t>be</w:t>
      </w:r>
      <w:r w:rsidRPr="006D1E0D">
        <w:t xml:space="preserve"> </w:t>
      </w:r>
      <w:r w:rsidRPr="006D1E0D">
        <w:t>clear</w:t>
      </w:r>
      <w:r w:rsidRPr="006D1E0D">
        <w:t xml:space="preserve"> </w:t>
      </w:r>
      <w:r w:rsidRPr="006D1E0D">
        <w:t>about</w:t>
      </w:r>
      <w:r w:rsidRPr="006D1E0D">
        <w:t xml:space="preserve"> </w:t>
      </w:r>
      <w:r w:rsidRPr="006D1E0D">
        <w:t>the</w:t>
      </w:r>
      <w:r w:rsidRPr="006D1E0D">
        <w:t xml:space="preserve"> </w:t>
      </w:r>
      <w:r w:rsidRPr="006D1E0D">
        <w:t>business</w:t>
      </w:r>
      <w:r w:rsidRPr="006D1E0D">
        <w:t xml:space="preserve"> </w:t>
      </w:r>
      <w:r w:rsidRPr="006D1E0D">
        <w:t>need</w:t>
      </w:r>
      <w:r w:rsidRPr="006D1E0D">
        <w:t xml:space="preserve"> </w:t>
      </w:r>
      <w:r w:rsidRPr="006D1E0D">
        <w:t>to</w:t>
      </w:r>
      <w:r w:rsidRPr="006D1E0D">
        <w:t xml:space="preserve"> </w:t>
      </w:r>
      <w:r w:rsidRPr="006D1E0D">
        <w:t>use</w:t>
      </w:r>
      <w:r w:rsidRPr="006D1E0D">
        <w:t xml:space="preserve"> </w:t>
      </w:r>
      <w:r w:rsidRPr="006D1E0D">
        <w:t>removable</w:t>
      </w:r>
      <w:r w:rsidRPr="006D1E0D">
        <w:t xml:space="preserve"> </w:t>
      </w:r>
      <w:r w:rsidRPr="006D1E0D">
        <w:t>media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 xml:space="preserve">apply </w:t>
      </w:r>
      <w:r w:rsidRPr="006D1E0D">
        <w:t>appropriate</w:t>
      </w:r>
      <w:r w:rsidRPr="006D1E0D">
        <w:t xml:space="preserve"> </w:t>
      </w:r>
      <w:r w:rsidRPr="006D1E0D">
        <w:t>security</w:t>
      </w:r>
      <w:r w:rsidRPr="006D1E0D">
        <w:t xml:space="preserve"> </w:t>
      </w:r>
      <w:r w:rsidRPr="006D1E0D">
        <w:t>controls</w:t>
      </w:r>
      <w:r w:rsidRPr="006D1E0D">
        <w:t xml:space="preserve"> </w:t>
      </w:r>
      <w:r w:rsidRPr="006D1E0D">
        <w:t>to</w:t>
      </w:r>
      <w:r w:rsidRPr="006D1E0D">
        <w:t xml:space="preserve"> </w:t>
      </w:r>
      <w:r w:rsidRPr="006D1E0D">
        <w:t>its</w:t>
      </w:r>
      <w:r w:rsidRPr="006D1E0D">
        <w:t xml:space="preserve"> </w:t>
      </w:r>
      <w:r w:rsidRPr="006D1E0D">
        <w:t>use.</w:t>
      </w:r>
    </w:p>
    <w:p w14:paraId="2E5AA2F3" w14:textId="77777777" w:rsidR="00C5497C" w:rsidRPr="006D1E0D" w:rsidRDefault="0012359B" w:rsidP="006D1E0D">
      <w:pPr>
        <w:pStyle w:val="ListParagraph"/>
        <w:numPr>
          <w:ilvl w:val="0"/>
          <w:numId w:val="11"/>
        </w:numPr>
      </w:pPr>
      <w:r w:rsidRPr="006D1E0D">
        <w:t>Home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Mobile</w:t>
      </w:r>
      <w:r w:rsidRPr="006D1E0D">
        <w:t xml:space="preserve"> </w:t>
      </w:r>
      <w:r w:rsidRPr="006D1E0D">
        <w:t>Working</w:t>
      </w:r>
      <w:r w:rsidRPr="006D1E0D">
        <w:t xml:space="preserve"> </w:t>
      </w:r>
      <w:r w:rsidRPr="006D1E0D">
        <w:t>–</w:t>
      </w:r>
      <w:r w:rsidRPr="006D1E0D">
        <w:t xml:space="preserve"> </w:t>
      </w:r>
      <w:r w:rsidRPr="006D1E0D">
        <w:t>Establish</w:t>
      </w:r>
      <w:r w:rsidRPr="006D1E0D">
        <w:t xml:space="preserve"> </w:t>
      </w:r>
      <w:r w:rsidRPr="006D1E0D">
        <w:t>risk-based</w:t>
      </w:r>
      <w:r w:rsidRPr="006D1E0D">
        <w:t xml:space="preserve"> </w:t>
      </w:r>
      <w:r w:rsidRPr="006D1E0D">
        <w:t>policies</w:t>
      </w:r>
      <w:r w:rsidRPr="006D1E0D">
        <w:t xml:space="preserve"> </w:t>
      </w:r>
      <w:r w:rsidRPr="006D1E0D">
        <w:t>and</w:t>
      </w:r>
      <w:r w:rsidRPr="006D1E0D">
        <w:t xml:space="preserve"> </w:t>
      </w:r>
      <w:r w:rsidRPr="006D1E0D">
        <w:t>procedures</w:t>
      </w:r>
      <w:r w:rsidRPr="006D1E0D">
        <w:t xml:space="preserve"> </w:t>
      </w:r>
      <w:r w:rsidRPr="006D1E0D">
        <w:t>that</w:t>
      </w:r>
      <w:r w:rsidRPr="006D1E0D">
        <w:t xml:space="preserve"> </w:t>
      </w:r>
      <w:r w:rsidRPr="006D1E0D">
        <w:t>support</w:t>
      </w:r>
      <w:r w:rsidRPr="006D1E0D">
        <w:t xml:space="preserve"> </w:t>
      </w:r>
      <w:r w:rsidRPr="006D1E0D">
        <w:t xml:space="preserve">mobile </w:t>
      </w:r>
      <w:r w:rsidRPr="006D1E0D">
        <w:t>working</w:t>
      </w:r>
      <w:r w:rsidRPr="006D1E0D">
        <w:t xml:space="preserve"> </w:t>
      </w:r>
      <w:r w:rsidRPr="006D1E0D">
        <w:t>or</w:t>
      </w:r>
      <w:r w:rsidRPr="006D1E0D">
        <w:t xml:space="preserve"> </w:t>
      </w:r>
      <w:r w:rsidRPr="006D1E0D">
        <w:t>remote</w:t>
      </w:r>
      <w:r w:rsidRPr="006D1E0D">
        <w:t xml:space="preserve"> </w:t>
      </w:r>
      <w:r w:rsidRPr="006D1E0D">
        <w:t>access</w:t>
      </w:r>
      <w:r w:rsidRPr="006D1E0D">
        <w:t xml:space="preserve"> </w:t>
      </w:r>
      <w:r w:rsidRPr="006D1E0D">
        <w:t>to</w:t>
      </w:r>
      <w:r w:rsidRPr="006D1E0D">
        <w:t xml:space="preserve"> </w:t>
      </w:r>
      <w:r w:rsidRPr="006D1E0D">
        <w:t>systems</w:t>
      </w:r>
      <w:r w:rsidRPr="006D1E0D">
        <w:t xml:space="preserve"> </w:t>
      </w:r>
      <w:r w:rsidRPr="006D1E0D">
        <w:t>that</w:t>
      </w:r>
      <w:r w:rsidRPr="006D1E0D">
        <w:t xml:space="preserve"> </w:t>
      </w:r>
      <w:r w:rsidRPr="006D1E0D">
        <w:t>are</w:t>
      </w:r>
      <w:r w:rsidRPr="006D1E0D">
        <w:t xml:space="preserve"> </w:t>
      </w:r>
      <w:r w:rsidRPr="006D1E0D">
        <w:t>applicable</w:t>
      </w:r>
      <w:r w:rsidRPr="006D1E0D">
        <w:t xml:space="preserve"> </w:t>
      </w:r>
      <w:r w:rsidRPr="006D1E0D">
        <w:t>to</w:t>
      </w:r>
      <w:r w:rsidRPr="006D1E0D">
        <w:t xml:space="preserve"> </w:t>
      </w:r>
      <w:r w:rsidRPr="006D1E0D">
        <w:t>users,</w:t>
      </w:r>
      <w:r w:rsidRPr="006D1E0D">
        <w:t xml:space="preserve"> </w:t>
      </w:r>
      <w:r w:rsidRPr="006D1E0D">
        <w:t>as</w:t>
      </w:r>
      <w:r w:rsidRPr="006D1E0D">
        <w:t xml:space="preserve"> </w:t>
      </w:r>
      <w:r w:rsidRPr="006D1E0D">
        <w:t>well</w:t>
      </w:r>
      <w:r w:rsidRPr="006D1E0D">
        <w:t xml:space="preserve"> </w:t>
      </w:r>
      <w:r w:rsidRPr="006D1E0D">
        <w:t>as</w:t>
      </w:r>
      <w:r w:rsidRPr="006D1E0D">
        <w:t xml:space="preserve"> </w:t>
      </w:r>
      <w:r w:rsidRPr="006D1E0D">
        <w:t>service</w:t>
      </w:r>
      <w:r w:rsidRPr="006D1E0D">
        <w:t xml:space="preserve"> </w:t>
      </w:r>
      <w:r w:rsidRPr="006D1E0D">
        <w:t>providers.</w:t>
      </w:r>
    </w:p>
    <w:p w14:paraId="662A1B6B" w14:textId="77777777" w:rsidR="00C5497C" w:rsidRPr="006D1E0D" w:rsidRDefault="00C5497C" w:rsidP="006D1E0D"/>
    <w:p w14:paraId="0085FAF7" w14:textId="77777777" w:rsidR="00C5497C" w:rsidRPr="006D1E0D" w:rsidRDefault="0012359B" w:rsidP="006D1E0D">
      <w:pPr>
        <w:ind w:left="8640" w:firstLine="720"/>
        <w:rPr>
          <w:rFonts w:ascii="Neue Haas Grotesk Text Pro" w:hAnsi="Neue Haas Grotesk Text Pro"/>
          <w:b/>
          <w:bCs/>
        </w:rPr>
      </w:pPr>
      <w:r w:rsidRPr="006D1E0D">
        <w:rPr>
          <w:rFonts w:ascii="Neue Haas Grotesk Text Pro" w:hAnsi="Neue Haas Grotesk Text Pro"/>
          <w:b/>
          <w:bCs/>
        </w:rPr>
        <w:t>10 marks</w:t>
      </w:r>
    </w:p>
    <w:sectPr w:rsidR="00C5497C" w:rsidRPr="006D1E0D" w:rsidSect="006D1E0D">
      <w:pgSz w:w="11920" w:h="16850"/>
      <w:pgMar w:top="720" w:right="720" w:bottom="720" w:left="720" w:header="19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1605" w14:textId="77777777" w:rsidR="0012359B" w:rsidRDefault="0012359B">
      <w:r>
        <w:separator/>
      </w:r>
    </w:p>
  </w:endnote>
  <w:endnote w:type="continuationSeparator" w:id="0">
    <w:p w14:paraId="1235F1B1" w14:textId="77777777" w:rsidR="0012359B" w:rsidRDefault="0012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9FD7" w14:textId="77777777" w:rsidR="00C5497C" w:rsidRDefault="0012359B">
    <w:pPr>
      <w:pStyle w:val="BodyText"/>
      <w:spacing w:line="14" w:lineRule="auto"/>
      <w:ind w:left="0"/>
      <w:rPr>
        <w:sz w:val="20"/>
      </w:rPr>
    </w:pPr>
    <w:r>
      <w:pict w14:anchorId="66D0C24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8.45pt;width:158.3pt;height:21.55pt;z-index:-15810048;mso-position-horizontal-relative:page;mso-position-vertical-relative:page" filled="f" stroked="f">
          <v:textbox inset="0,0,0,0">
            <w:txbxContent>
              <w:p w14:paraId="0C400FC3" w14:textId="06536983" w:rsidR="00C5497C" w:rsidRDefault="0012359B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Core Unit 3 Assignment 5</w:t>
                </w:r>
                <w:r w:rsidR="00573D92">
                  <w:rPr>
                    <w:rFonts w:ascii="Arial"/>
                    <w:sz w:val="16"/>
                  </w:rPr>
                  <w:t xml:space="preserve"> Notes</w:t>
                </w:r>
              </w:p>
              <w:p w14:paraId="10A953EE" w14:textId="242F9E34" w:rsidR="00C5497C" w:rsidRDefault="0012359B">
                <w:pPr>
                  <w:spacing w:before="27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© The Pensions Management Institute 202</w:t>
                </w:r>
                <w:r w:rsidR="00573D92">
                  <w:rPr>
                    <w:rFonts w:ascii="Arial" w:hAnsi="Arial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71BA1EE4">
        <v:shape id="_x0000_s2049" type="#_x0000_t202" style="position:absolute;margin-left:431.2pt;margin-top:808.45pt;width:46.7pt;height:11pt;z-index:-15809536;mso-position-horizontal-relative:page;mso-position-vertical-relative:page" filled="f" stroked="f">
          <v:textbox inset="0,0,0,0">
            <w:txbxContent>
              <w:p w14:paraId="2ECF5118" w14:textId="6D785E34" w:rsidR="00C5497C" w:rsidRDefault="0012359B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202</w:t>
                </w:r>
                <w:r w:rsidR="00573D92">
                  <w:rPr>
                    <w:rFonts w:ascii="Arial"/>
                    <w:sz w:val="16"/>
                  </w:rPr>
                  <w:t>0</w:t>
                </w:r>
                <w:r>
                  <w:rPr>
                    <w:rFonts w:ascii="Arial"/>
                    <w:sz w:val="16"/>
                  </w:rPr>
                  <w:t xml:space="preserve"> Edition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CDB1" w14:textId="77777777" w:rsidR="0012359B" w:rsidRDefault="0012359B">
      <w:r>
        <w:separator/>
      </w:r>
    </w:p>
  </w:footnote>
  <w:footnote w:type="continuationSeparator" w:id="0">
    <w:p w14:paraId="1C06E241" w14:textId="77777777" w:rsidR="0012359B" w:rsidRDefault="0012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0974" w14:textId="0E3236F7" w:rsidR="00C5497C" w:rsidRPr="00573D92" w:rsidRDefault="00573D92" w:rsidP="00573D92">
    <w:pPr>
      <w:pStyle w:val="Header"/>
      <w:jc w:val="center"/>
    </w:pPr>
    <w:r>
      <w:rPr>
        <w:noProof/>
      </w:rPr>
      <w:drawing>
        <wp:inline distT="0" distB="0" distL="0" distR="0" wp14:anchorId="377353C9" wp14:editId="7A97EE79">
          <wp:extent cx="1765300" cy="1141957"/>
          <wp:effectExtent l="0" t="0" r="0" b="0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63" cy="114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32C9"/>
    <w:multiLevelType w:val="hybridMultilevel"/>
    <w:tmpl w:val="EFDC8000"/>
    <w:lvl w:ilvl="0" w:tplc="F32EC2AA">
      <w:start w:val="1"/>
      <w:numFmt w:val="decimal"/>
      <w:lvlText w:val="%1."/>
      <w:lvlJc w:val="left"/>
      <w:pPr>
        <w:ind w:left="547" w:hanging="430"/>
        <w:jc w:val="left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7E7491C0">
      <w:numFmt w:val="bullet"/>
      <w:lvlText w:val="•"/>
      <w:lvlJc w:val="left"/>
      <w:pPr>
        <w:ind w:left="1383" w:hanging="430"/>
      </w:pPr>
      <w:rPr>
        <w:rFonts w:hint="default"/>
        <w:lang w:val="en-US" w:eastAsia="en-US" w:bidi="ar-SA"/>
      </w:rPr>
    </w:lvl>
    <w:lvl w:ilvl="2" w:tplc="127A252A">
      <w:numFmt w:val="bullet"/>
      <w:lvlText w:val="•"/>
      <w:lvlJc w:val="left"/>
      <w:pPr>
        <w:ind w:left="2226" w:hanging="430"/>
      </w:pPr>
      <w:rPr>
        <w:rFonts w:hint="default"/>
        <w:lang w:val="en-US" w:eastAsia="en-US" w:bidi="ar-SA"/>
      </w:rPr>
    </w:lvl>
    <w:lvl w:ilvl="3" w:tplc="06460FCC">
      <w:numFmt w:val="bullet"/>
      <w:lvlText w:val="•"/>
      <w:lvlJc w:val="left"/>
      <w:pPr>
        <w:ind w:left="3069" w:hanging="430"/>
      </w:pPr>
      <w:rPr>
        <w:rFonts w:hint="default"/>
        <w:lang w:val="en-US" w:eastAsia="en-US" w:bidi="ar-SA"/>
      </w:rPr>
    </w:lvl>
    <w:lvl w:ilvl="4" w:tplc="6256DABA">
      <w:numFmt w:val="bullet"/>
      <w:lvlText w:val="•"/>
      <w:lvlJc w:val="left"/>
      <w:pPr>
        <w:ind w:left="3912" w:hanging="430"/>
      </w:pPr>
      <w:rPr>
        <w:rFonts w:hint="default"/>
        <w:lang w:val="en-US" w:eastAsia="en-US" w:bidi="ar-SA"/>
      </w:rPr>
    </w:lvl>
    <w:lvl w:ilvl="5" w:tplc="AA086842">
      <w:numFmt w:val="bullet"/>
      <w:lvlText w:val="•"/>
      <w:lvlJc w:val="left"/>
      <w:pPr>
        <w:ind w:left="4755" w:hanging="430"/>
      </w:pPr>
      <w:rPr>
        <w:rFonts w:hint="default"/>
        <w:lang w:val="en-US" w:eastAsia="en-US" w:bidi="ar-SA"/>
      </w:rPr>
    </w:lvl>
    <w:lvl w:ilvl="6" w:tplc="30162FD4">
      <w:numFmt w:val="bullet"/>
      <w:lvlText w:val="•"/>
      <w:lvlJc w:val="left"/>
      <w:pPr>
        <w:ind w:left="5598" w:hanging="430"/>
      </w:pPr>
      <w:rPr>
        <w:rFonts w:hint="default"/>
        <w:lang w:val="en-US" w:eastAsia="en-US" w:bidi="ar-SA"/>
      </w:rPr>
    </w:lvl>
    <w:lvl w:ilvl="7" w:tplc="373AFEC8">
      <w:numFmt w:val="bullet"/>
      <w:lvlText w:val="•"/>
      <w:lvlJc w:val="left"/>
      <w:pPr>
        <w:ind w:left="6441" w:hanging="430"/>
      </w:pPr>
      <w:rPr>
        <w:rFonts w:hint="default"/>
        <w:lang w:val="en-US" w:eastAsia="en-US" w:bidi="ar-SA"/>
      </w:rPr>
    </w:lvl>
    <w:lvl w:ilvl="8" w:tplc="070A8BB4">
      <w:numFmt w:val="bullet"/>
      <w:lvlText w:val="•"/>
      <w:lvlJc w:val="left"/>
      <w:pPr>
        <w:ind w:left="7284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1172773C"/>
    <w:multiLevelType w:val="hybridMultilevel"/>
    <w:tmpl w:val="125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B9C"/>
    <w:multiLevelType w:val="hybridMultilevel"/>
    <w:tmpl w:val="2990E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210E"/>
    <w:multiLevelType w:val="hybridMultilevel"/>
    <w:tmpl w:val="C1A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9A"/>
    <w:multiLevelType w:val="hybridMultilevel"/>
    <w:tmpl w:val="36862854"/>
    <w:lvl w:ilvl="0" w:tplc="549A13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5742"/>
    <w:multiLevelType w:val="hybridMultilevel"/>
    <w:tmpl w:val="80B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774E"/>
    <w:multiLevelType w:val="hybridMultilevel"/>
    <w:tmpl w:val="9D4E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6634"/>
    <w:multiLevelType w:val="hybridMultilevel"/>
    <w:tmpl w:val="4F246BF2"/>
    <w:lvl w:ilvl="0" w:tplc="B61494B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0128338">
      <w:numFmt w:val="bullet"/>
      <w:lvlText w:val="-"/>
      <w:lvlJc w:val="left"/>
      <w:pPr>
        <w:ind w:left="840" w:hanging="123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A102551C">
      <w:numFmt w:val="bullet"/>
      <w:lvlText w:val="•"/>
      <w:lvlJc w:val="left"/>
      <w:pPr>
        <w:ind w:left="8300" w:hanging="123"/>
      </w:pPr>
      <w:rPr>
        <w:rFonts w:hint="default"/>
        <w:lang w:val="en-US" w:eastAsia="en-US" w:bidi="ar-SA"/>
      </w:rPr>
    </w:lvl>
    <w:lvl w:ilvl="3" w:tplc="6E32CC32">
      <w:numFmt w:val="bullet"/>
      <w:lvlText w:val="•"/>
      <w:lvlJc w:val="left"/>
      <w:pPr>
        <w:ind w:left="8383" w:hanging="123"/>
      </w:pPr>
      <w:rPr>
        <w:rFonts w:hint="default"/>
        <w:lang w:val="en-US" w:eastAsia="en-US" w:bidi="ar-SA"/>
      </w:rPr>
    </w:lvl>
    <w:lvl w:ilvl="4" w:tplc="46D81B54">
      <w:numFmt w:val="bullet"/>
      <w:lvlText w:val="•"/>
      <w:lvlJc w:val="left"/>
      <w:pPr>
        <w:ind w:left="8467" w:hanging="123"/>
      </w:pPr>
      <w:rPr>
        <w:rFonts w:hint="default"/>
        <w:lang w:val="en-US" w:eastAsia="en-US" w:bidi="ar-SA"/>
      </w:rPr>
    </w:lvl>
    <w:lvl w:ilvl="5" w:tplc="BA389590">
      <w:numFmt w:val="bullet"/>
      <w:lvlText w:val="•"/>
      <w:lvlJc w:val="left"/>
      <w:pPr>
        <w:ind w:left="8551" w:hanging="123"/>
      </w:pPr>
      <w:rPr>
        <w:rFonts w:hint="default"/>
        <w:lang w:val="en-US" w:eastAsia="en-US" w:bidi="ar-SA"/>
      </w:rPr>
    </w:lvl>
    <w:lvl w:ilvl="6" w:tplc="26D40CF4">
      <w:numFmt w:val="bullet"/>
      <w:lvlText w:val="•"/>
      <w:lvlJc w:val="left"/>
      <w:pPr>
        <w:ind w:left="8635" w:hanging="123"/>
      </w:pPr>
      <w:rPr>
        <w:rFonts w:hint="default"/>
        <w:lang w:val="en-US" w:eastAsia="en-US" w:bidi="ar-SA"/>
      </w:rPr>
    </w:lvl>
    <w:lvl w:ilvl="7" w:tplc="6734AF88">
      <w:numFmt w:val="bullet"/>
      <w:lvlText w:val="•"/>
      <w:lvlJc w:val="left"/>
      <w:pPr>
        <w:ind w:left="8719" w:hanging="123"/>
      </w:pPr>
      <w:rPr>
        <w:rFonts w:hint="default"/>
        <w:lang w:val="en-US" w:eastAsia="en-US" w:bidi="ar-SA"/>
      </w:rPr>
    </w:lvl>
    <w:lvl w:ilvl="8" w:tplc="731ED24A">
      <w:numFmt w:val="bullet"/>
      <w:lvlText w:val="•"/>
      <w:lvlJc w:val="left"/>
      <w:pPr>
        <w:ind w:left="8803" w:hanging="123"/>
      </w:pPr>
      <w:rPr>
        <w:rFonts w:hint="default"/>
        <w:lang w:val="en-US" w:eastAsia="en-US" w:bidi="ar-SA"/>
      </w:rPr>
    </w:lvl>
  </w:abstractNum>
  <w:abstractNum w:abstractNumId="8" w15:restartNumberingAfterBreak="0">
    <w:nsid w:val="4EE618A5"/>
    <w:multiLevelType w:val="hybridMultilevel"/>
    <w:tmpl w:val="29F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3BC3"/>
    <w:multiLevelType w:val="hybridMultilevel"/>
    <w:tmpl w:val="CC9289A2"/>
    <w:lvl w:ilvl="0" w:tplc="549A13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A3BCE"/>
    <w:multiLevelType w:val="hybridMultilevel"/>
    <w:tmpl w:val="144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7C"/>
    <w:rsid w:val="0012359B"/>
    <w:rsid w:val="00573D92"/>
    <w:rsid w:val="00586907"/>
    <w:rsid w:val="006D1E0D"/>
    <w:rsid w:val="00C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920FAD"/>
  <w15:docId w15:val="{8C10A13E-3F1E-42EE-8A12-FA96C4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86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9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9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2021-01-29T00:14:00Z</dcterms:created>
  <dcterms:modified xsi:type="dcterms:W3CDTF">2021-01-29T00:14:00Z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